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4A73C7" w:rsidP="004A73C7" w14:paraId="3C3AA117" w14:textId="77777777">
      <w:pPr>
        <w:spacing w:line="276" w:lineRule="auto"/>
        <w:jc w:val="center"/>
        <w:rPr>
          <w:rFonts w:ascii="Arial" w:hAnsi="Arial" w:cs="Arial"/>
          <w:b/>
          <w:color w:val="4472C4"/>
          <w:sz w:val="28"/>
          <w:szCs w:val="28"/>
        </w:rPr>
      </w:pPr>
      <w:bookmarkStart w:id="0" w:name="_Hlk131681751"/>
      <w:r>
        <w:rPr>
          <w:rFonts w:ascii="Arial" w:hAnsi="Arial" w:cs="Arial"/>
          <w:b/>
          <w:sz w:val="28"/>
          <w:szCs w:val="28"/>
        </w:rPr>
        <w:t>Validation Plan for Quantitative Method</w:t>
      </w:r>
      <w:bookmarkEnd w:id="0"/>
    </w:p>
    <w:tbl>
      <w:tblPr>
        <w:tblpPr w:leftFromText="180" w:rightFromText="180" w:vertAnchor="text" w:horzAnchor="margin" w:tblpY="126"/>
        <w:tblW w:w="983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600"/>
      </w:tblPr>
      <w:tblGrid>
        <w:gridCol w:w="3199"/>
        <w:gridCol w:w="2129"/>
        <w:gridCol w:w="4504"/>
      </w:tblGrid>
      <w:tr w14:paraId="0DFE6A8F" w14:textId="77777777" w:rsidTr="00BF1478">
        <w:tblPrEx>
          <w:tblW w:w="983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600"/>
        </w:tblPrEx>
        <w:trPr>
          <w:trHeight w:val="432"/>
        </w:trPr>
        <w:tc>
          <w:tcPr>
            <w:tcW w:w="9832" w:type="dxa"/>
            <w:gridSpan w:val="3"/>
            <w:tcBorders>
              <w:top w:val="single" w:sz="4" w:space="0" w:color="A5A5A5"/>
              <w:left w:val="single" w:sz="4" w:space="0" w:color="A5A5A5"/>
              <w:bottom w:val="single" w:sz="4" w:space="0" w:color="DBDBDB"/>
              <w:right w:val="single" w:sz="4" w:space="0" w:color="A5A5A5"/>
            </w:tcBorders>
            <w:shd w:val="clear" w:color="auto" w:fill="E7E6E6"/>
            <w:vAlign w:val="center"/>
            <w:hideMark/>
          </w:tcPr>
          <w:p w:rsidR="00BF1478" w:rsidRPr="004A73C7" w:rsidP="00BF1478" w14:paraId="3042B0EB" w14:textId="77777777">
            <w:pPr>
              <w:pStyle w:val="NoSpacing"/>
              <w:spacing w:line="276" w:lineRule="auto"/>
              <w:jc w:val="center"/>
              <w:rPr>
                <w:rFonts w:ascii="Arial" w:hAnsi="Arial" w:cs="Arial"/>
                <w:color w:val="4472C4"/>
              </w:rPr>
            </w:pPr>
            <w:bookmarkStart w:id="1" w:name="_Hlk131682528"/>
            <w:r w:rsidRPr="004A73C7">
              <w:rPr>
                <w:rFonts w:ascii="Arial" w:hAnsi="Arial" w:cs="Arial"/>
                <w:color w:val="4472C4"/>
              </w:rPr>
              <w:t xml:space="preserve">(Please fill in the table with your laboratory’s information </w:t>
            </w:r>
          </w:p>
          <w:p w:rsidR="00BF1478" w:rsidRPr="004A73C7" w:rsidP="00BF1478" w14:paraId="0989FEBE" w14:textId="77777777">
            <w:pPr>
              <w:pStyle w:val="NoSpacing"/>
              <w:spacing w:line="276" w:lineRule="auto"/>
              <w:jc w:val="center"/>
              <w:rPr>
                <w:rFonts w:ascii="Arial" w:eastAsia="Times New Roman" w:hAnsi="Arial" w:cs="Arial"/>
                <w:color w:val="4472C4"/>
              </w:rPr>
            </w:pPr>
            <w:r w:rsidRPr="004A73C7">
              <w:rPr>
                <w:rFonts w:ascii="Arial" w:hAnsi="Arial" w:cs="Arial"/>
                <w:color w:val="4472C4"/>
              </w:rPr>
              <w:t>and details on the method being validated)</w:t>
            </w:r>
          </w:p>
        </w:tc>
      </w:tr>
      <w:tr w14:paraId="678042AE" w14:textId="77777777" w:rsidTr="00BF1478">
        <w:tblPrEx>
          <w:tblW w:w="9832" w:type="dxa"/>
          <w:tblLook w:val="0600"/>
        </w:tblPrEx>
        <w:trPr>
          <w:trHeight w:val="576"/>
        </w:trPr>
        <w:tc>
          <w:tcPr>
            <w:tcW w:w="3199" w:type="dxa"/>
            <w:tcBorders>
              <w:top w:val="single" w:sz="4" w:space="0" w:color="A5A5A5"/>
              <w:left w:val="single" w:sz="4" w:space="0" w:color="A5A5A5"/>
              <w:bottom w:val="nil"/>
              <w:right w:val="single" w:sz="4" w:space="0" w:color="A5A5A5"/>
            </w:tcBorders>
            <w:vAlign w:val="center"/>
            <w:hideMark/>
          </w:tcPr>
          <w:p w:rsidR="00BF1478" w:rsidP="00FB1C7E" w14:paraId="744AB7E1" w14:textId="77777777">
            <w:pPr>
              <w:pStyle w:val="NoSpacing"/>
              <w:spacing w:before="240" w:line="276" w:lineRule="auto"/>
              <w:jc w:val="right"/>
              <w:rPr>
                <w:rFonts w:ascii="Arial" w:eastAsia="Times New Roman" w:hAnsi="Arial" w:cs="Arial"/>
                <w:b/>
                <w:color w:val="000000"/>
              </w:rPr>
            </w:pPr>
            <w:r>
              <w:rPr>
                <w:rFonts w:ascii="Arial" w:eastAsia="Times New Roman" w:hAnsi="Arial" w:cs="Arial"/>
                <w:b/>
                <w:color w:val="000000"/>
              </w:rPr>
              <w:t>Instrument/Method/Reagent</w:t>
            </w:r>
            <w:r w:rsidR="00811404">
              <w:rPr>
                <w:rFonts w:ascii="Arial" w:eastAsia="Times New Roman" w:hAnsi="Arial" w:cs="Arial"/>
                <w:b/>
                <w:color w:val="000000"/>
              </w:rPr>
              <w:t xml:space="preserve"> to be validated</w:t>
            </w:r>
            <w:r>
              <w:rPr>
                <w:rFonts w:ascii="Arial" w:eastAsia="Times New Roman" w:hAnsi="Arial" w:cs="Arial"/>
                <w:b/>
                <w:color w:val="000000"/>
              </w:rPr>
              <w:t>:</w:t>
            </w:r>
          </w:p>
        </w:tc>
        <w:tc>
          <w:tcPr>
            <w:tcW w:w="6633" w:type="dxa"/>
            <w:gridSpan w:val="2"/>
            <w:tcBorders>
              <w:top w:val="single" w:sz="4" w:space="0" w:color="A5A5A5"/>
              <w:left w:val="single" w:sz="4" w:space="0" w:color="A5A5A5"/>
              <w:bottom w:val="single" w:sz="4" w:space="0" w:color="A5A5A5"/>
              <w:right w:val="single" w:sz="4" w:space="0" w:color="A5A5A5"/>
            </w:tcBorders>
            <w:vAlign w:val="center"/>
          </w:tcPr>
          <w:p w:rsidR="00BF1478" w:rsidP="00BF1478" w14:paraId="717D1AF6" w14:textId="77777777">
            <w:pPr>
              <w:pStyle w:val="NoSpacing"/>
              <w:spacing w:line="276" w:lineRule="auto"/>
              <w:rPr>
                <w:rFonts w:ascii="Arial" w:eastAsia="Times New Roman" w:hAnsi="Arial" w:cs="Arial"/>
                <w:color w:val="000000"/>
              </w:rPr>
            </w:pPr>
          </w:p>
        </w:tc>
      </w:tr>
      <w:tr w14:paraId="3E2F6078" w14:textId="77777777" w:rsidTr="00BF1478">
        <w:tblPrEx>
          <w:tblW w:w="9832" w:type="dxa"/>
          <w:tblLook w:val="0600"/>
        </w:tblPrEx>
        <w:trPr>
          <w:trHeight w:val="576"/>
        </w:trPr>
        <w:tc>
          <w:tcPr>
            <w:tcW w:w="3199" w:type="dxa"/>
            <w:tcBorders>
              <w:top w:val="nil"/>
              <w:left w:val="single" w:sz="4" w:space="0" w:color="A5A5A5"/>
              <w:bottom w:val="single" w:sz="4" w:space="0" w:color="A5A5A5"/>
              <w:right w:val="single" w:sz="4" w:space="0" w:color="A5A5A5"/>
            </w:tcBorders>
            <w:vAlign w:val="center"/>
          </w:tcPr>
          <w:p w:rsidR="00BF1478" w:rsidP="00BF1478" w14:paraId="3E8AFC08" w14:textId="77777777">
            <w:pPr>
              <w:pStyle w:val="NoSpacing"/>
              <w:spacing w:line="276" w:lineRule="auto"/>
              <w:jc w:val="right"/>
              <w:rPr>
                <w:rFonts w:ascii="Arial" w:eastAsia="Times New Roman" w:hAnsi="Arial" w:cs="Arial"/>
                <w:b/>
                <w:color w:val="000000"/>
              </w:rPr>
            </w:pPr>
          </w:p>
        </w:tc>
        <w:tc>
          <w:tcPr>
            <w:tcW w:w="6633" w:type="dxa"/>
            <w:gridSpan w:val="2"/>
            <w:tcBorders>
              <w:top w:val="single" w:sz="4" w:space="0" w:color="A5A5A5"/>
              <w:left w:val="single" w:sz="4" w:space="0" w:color="A5A5A5"/>
              <w:bottom w:val="single" w:sz="4" w:space="0" w:color="A5A5A5"/>
              <w:right w:val="single" w:sz="4" w:space="0" w:color="A5A5A5"/>
            </w:tcBorders>
            <w:vAlign w:val="center"/>
            <w:hideMark/>
          </w:tcPr>
          <w:p w:rsidR="00BF1478" w:rsidP="00BF1478" w14:paraId="74F38B2E" w14:textId="77777777">
            <w:pPr>
              <w:pStyle w:val="NoSpacing"/>
              <w:spacing w:line="276" w:lineRule="auto"/>
              <w:rPr>
                <w:rFonts w:ascii="Arial" w:eastAsia="Times New Roman" w:hAnsi="Arial" w:cs="Arial"/>
                <w:color w:val="000000"/>
              </w:rPr>
            </w:pPr>
            <w:sdt>
              <w:sdtPr>
                <w:rPr>
                  <w:rFonts w:ascii="Segoe UI Symbol" w:eastAsia="MS Gothic" w:hAnsi="Segoe UI Symbol" w:cs="Segoe UI Symbol"/>
                  <w:color w:val="000000"/>
                </w:rPr>
                <w:id w:val="-749269303"/>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rPr>
              <w:t>Primary</w:t>
            </w:r>
            <w:r>
              <w:rPr>
                <w:rFonts w:ascii="Arial" w:eastAsia="Times New Roman" w:hAnsi="Arial" w:cs="Arial"/>
              </w:rPr>
              <w:tab/>
            </w:r>
            <w:r>
              <w:rPr>
                <w:rFonts w:ascii="Arial" w:eastAsia="Times New Roman" w:hAnsi="Arial" w:cs="Arial"/>
              </w:rPr>
              <w:tab/>
            </w:r>
            <w:r w:rsidR="0082033F">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262347204"/>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rPr>
              <w:t>Back-up</w:t>
            </w:r>
          </w:p>
        </w:tc>
      </w:tr>
      <w:tr w14:paraId="2ADDA40B" w14:textId="77777777" w:rsidTr="00BF1478">
        <w:tblPrEx>
          <w:tblW w:w="9832" w:type="dxa"/>
          <w:tblLook w:val="0600"/>
        </w:tblPrEx>
        <w:trPr>
          <w:trHeight w:val="576"/>
        </w:trPr>
        <w:tc>
          <w:tcPr>
            <w:tcW w:w="3199" w:type="dxa"/>
            <w:tcBorders>
              <w:top w:val="single" w:sz="4" w:space="0" w:color="A5A5A5"/>
              <w:left w:val="single" w:sz="4" w:space="0" w:color="A5A5A5"/>
              <w:bottom w:val="nil"/>
              <w:right w:val="single" w:sz="4" w:space="0" w:color="A5A5A5"/>
            </w:tcBorders>
            <w:vAlign w:val="center"/>
            <w:hideMark/>
          </w:tcPr>
          <w:p w:rsidR="00BF1478" w:rsidP="00BF1478" w14:paraId="3A949FB4" w14:textId="77777777">
            <w:pPr>
              <w:pStyle w:val="NoSpacing"/>
              <w:spacing w:line="276" w:lineRule="auto"/>
              <w:jc w:val="right"/>
              <w:rPr>
                <w:rFonts w:ascii="Arial" w:eastAsia="Times New Roman" w:hAnsi="Arial" w:cs="Arial"/>
                <w:color w:val="000000"/>
                <w:sz w:val="18"/>
              </w:rPr>
            </w:pPr>
            <w:r>
              <w:rPr>
                <w:rFonts w:ascii="Arial" w:eastAsia="Times New Roman" w:hAnsi="Arial" w:cs="Arial"/>
                <w:color w:val="000000"/>
                <w:sz w:val="18"/>
              </w:rPr>
              <w:t>(if applicable)</w:t>
            </w:r>
          </w:p>
          <w:p w:rsidR="00BF1478" w:rsidP="00BF1478" w14:paraId="72BF9A7F" w14:textId="77777777">
            <w:pPr>
              <w:pStyle w:val="NoSpacing"/>
              <w:spacing w:line="276" w:lineRule="auto"/>
              <w:jc w:val="right"/>
              <w:rPr>
                <w:rFonts w:ascii="Arial" w:eastAsia="Times New Roman" w:hAnsi="Arial" w:cs="Arial"/>
                <w:b/>
                <w:color w:val="000000"/>
              </w:rPr>
            </w:pPr>
            <w:r>
              <w:rPr>
                <w:rFonts w:ascii="Arial" w:eastAsia="Times New Roman" w:hAnsi="Arial" w:cs="Arial"/>
                <w:b/>
                <w:color w:val="000000"/>
              </w:rPr>
              <w:t>Serial Number(s):</w:t>
            </w:r>
          </w:p>
        </w:tc>
        <w:tc>
          <w:tcPr>
            <w:tcW w:w="6633" w:type="dxa"/>
            <w:gridSpan w:val="2"/>
            <w:tcBorders>
              <w:top w:val="single" w:sz="4" w:space="0" w:color="A5A5A5"/>
              <w:left w:val="single" w:sz="4" w:space="0" w:color="A5A5A5"/>
              <w:bottom w:val="single" w:sz="4" w:space="0" w:color="A5A5A5"/>
              <w:right w:val="single" w:sz="4" w:space="0" w:color="A5A5A5"/>
            </w:tcBorders>
            <w:vAlign w:val="center"/>
          </w:tcPr>
          <w:p w:rsidR="00BF1478" w:rsidP="00BF1478" w14:paraId="3B96FFBC" w14:textId="77777777">
            <w:pPr>
              <w:pStyle w:val="NoSpacing"/>
              <w:spacing w:line="276" w:lineRule="auto"/>
              <w:rPr>
                <w:rFonts w:ascii="Arial" w:eastAsia="Times New Roman" w:hAnsi="Arial" w:cs="Arial"/>
                <w:color w:val="000000"/>
              </w:rPr>
            </w:pPr>
          </w:p>
        </w:tc>
      </w:tr>
      <w:tr w14:paraId="04389380" w14:textId="77777777" w:rsidTr="00BF1478">
        <w:tblPrEx>
          <w:tblW w:w="9832" w:type="dxa"/>
          <w:tblLook w:val="0600"/>
        </w:tblPrEx>
        <w:trPr>
          <w:trHeight w:val="576"/>
        </w:trPr>
        <w:tc>
          <w:tcPr>
            <w:tcW w:w="3199" w:type="dxa"/>
            <w:tcBorders>
              <w:top w:val="nil"/>
              <w:left w:val="single" w:sz="4" w:space="0" w:color="A5A5A5"/>
              <w:bottom w:val="nil"/>
              <w:right w:val="single" w:sz="4" w:space="0" w:color="A5A5A5"/>
            </w:tcBorders>
            <w:vAlign w:val="center"/>
            <w:hideMark/>
          </w:tcPr>
          <w:p w:rsidR="00BF1478" w:rsidP="00BF1478" w14:paraId="13EAFE2F" w14:textId="77777777">
            <w:pPr>
              <w:pStyle w:val="NoSpacing"/>
              <w:spacing w:line="276" w:lineRule="auto"/>
              <w:jc w:val="right"/>
              <w:rPr>
                <w:rFonts w:ascii="Arial" w:eastAsia="Times New Roman" w:hAnsi="Arial" w:cs="Arial"/>
                <w:b/>
                <w:color w:val="000000"/>
              </w:rPr>
            </w:pPr>
            <w:r>
              <w:rPr>
                <w:rFonts w:ascii="Arial" w:eastAsia="Times New Roman" w:hAnsi="Arial" w:cs="Arial"/>
                <w:b/>
                <w:color w:val="000000"/>
              </w:rPr>
              <w:t>Analyte(s):</w:t>
            </w:r>
          </w:p>
        </w:tc>
        <w:tc>
          <w:tcPr>
            <w:tcW w:w="6633" w:type="dxa"/>
            <w:gridSpan w:val="2"/>
            <w:tcBorders>
              <w:top w:val="single" w:sz="4" w:space="0" w:color="A5A5A5"/>
              <w:left w:val="single" w:sz="4" w:space="0" w:color="A5A5A5"/>
              <w:bottom w:val="single" w:sz="4" w:space="0" w:color="A5A5A5"/>
              <w:right w:val="single" w:sz="4" w:space="0" w:color="A5A5A5"/>
            </w:tcBorders>
            <w:vAlign w:val="center"/>
          </w:tcPr>
          <w:p w:rsidR="00BF1478" w:rsidP="00BF1478" w14:paraId="39260FCA" w14:textId="77777777">
            <w:pPr>
              <w:pStyle w:val="NoSpacing"/>
              <w:spacing w:line="276" w:lineRule="auto"/>
              <w:rPr>
                <w:rFonts w:ascii="Arial" w:eastAsia="Times New Roman" w:hAnsi="Arial" w:cs="Arial"/>
                <w:color w:val="000000"/>
              </w:rPr>
            </w:pPr>
          </w:p>
        </w:tc>
      </w:tr>
      <w:tr w14:paraId="00F67F10" w14:textId="77777777" w:rsidTr="00BF1478">
        <w:tblPrEx>
          <w:tblW w:w="9832" w:type="dxa"/>
          <w:tblLook w:val="0600"/>
        </w:tblPrEx>
        <w:trPr>
          <w:trHeight w:val="576"/>
        </w:trPr>
        <w:tc>
          <w:tcPr>
            <w:tcW w:w="3199" w:type="dxa"/>
            <w:tcBorders>
              <w:top w:val="nil"/>
              <w:left w:val="single" w:sz="4" w:space="0" w:color="A5A5A5"/>
              <w:bottom w:val="nil"/>
              <w:right w:val="single" w:sz="4" w:space="0" w:color="A5A5A5"/>
            </w:tcBorders>
            <w:vAlign w:val="center"/>
          </w:tcPr>
          <w:p w:rsidR="000E1368" w:rsidP="00BF1478" w14:paraId="5E3085FC" w14:textId="246DFC79">
            <w:pPr>
              <w:pStyle w:val="NoSpacing"/>
              <w:spacing w:line="276" w:lineRule="auto"/>
              <w:jc w:val="right"/>
              <w:rPr>
                <w:rFonts w:ascii="Arial" w:eastAsia="Times New Roman" w:hAnsi="Arial" w:cs="Arial"/>
                <w:b/>
                <w:color w:val="000000"/>
              </w:rPr>
            </w:pPr>
            <w:r>
              <w:rPr>
                <w:rFonts w:ascii="Arial" w:eastAsia="Times New Roman" w:hAnsi="Arial" w:cs="Arial"/>
                <w:b/>
                <w:color w:val="000000"/>
              </w:rPr>
              <w:t>Kit Name:</w:t>
            </w:r>
          </w:p>
        </w:tc>
        <w:tc>
          <w:tcPr>
            <w:tcW w:w="6633" w:type="dxa"/>
            <w:gridSpan w:val="2"/>
            <w:tcBorders>
              <w:top w:val="single" w:sz="4" w:space="0" w:color="A5A5A5"/>
              <w:left w:val="single" w:sz="4" w:space="0" w:color="A5A5A5"/>
              <w:bottom w:val="single" w:sz="4" w:space="0" w:color="A5A5A5"/>
              <w:right w:val="single" w:sz="4" w:space="0" w:color="A5A5A5"/>
            </w:tcBorders>
            <w:vAlign w:val="center"/>
          </w:tcPr>
          <w:p w:rsidR="000E1368" w:rsidP="00BF1478" w14:paraId="0690ED91" w14:textId="77777777">
            <w:pPr>
              <w:pStyle w:val="NoSpacing"/>
              <w:spacing w:line="276" w:lineRule="auto"/>
              <w:rPr>
                <w:rFonts w:ascii="Arial" w:eastAsia="Times New Roman" w:hAnsi="Arial" w:cs="Arial"/>
                <w:color w:val="000000"/>
              </w:rPr>
            </w:pPr>
          </w:p>
        </w:tc>
      </w:tr>
      <w:tr w14:paraId="0690F22A" w14:textId="77777777" w:rsidTr="00BF1478">
        <w:tblPrEx>
          <w:tblW w:w="9832" w:type="dxa"/>
          <w:tblLook w:val="0600"/>
        </w:tblPrEx>
        <w:trPr>
          <w:trHeight w:val="576"/>
        </w:trPr>
        <w:tc>
          <w:tcPr>
            <w:tcW w:w="3199" w:type="dxa"/>
            <w:tcBorders>
              <w:top w:val="nil"/>
              <w:left w:val="single" w:sz="4" w:space="0" w:color="A5A5A5"/>
              <w:bottom w:val="single" w:sz="4" w:space="0" w:color="A5A5A5"/>
              <w:right w:val="single" w:sz="4" w:space="0" w:color="A5A5A5"/>
            </w:tcBorders>
            <w:vAlign w:val="center"/>
            <w:hideMark/>
          </w:tcPr>
          <w:p w:rsidR="00BF1478" w:rsidP="00BF1478" w14:paraId="097F442F" w14:textId="1361497E">
            <w:pPr>
              <w:pStyle w:val="NoSpacing"/>
              <w:spacing w:line="276" w:lineRule="auto"/>
              <w:jc w:val="right"/>
              <w:rPr>
                <w:rFonts w:ascii="Arial" w:eastAsia="Times New Roman" w:hAnsi="Arial" w:cs="Arial"/>
                <w:b/>
                <w:color w:val="000000"/>
              </w:rPr>
            </w:pPr>
            <w:r>
              <w:rPr>
                <w:rFonts w:ascii="Arial" w:eastAsia="Times New Roman" w:hAnsi="Arial" w:cs="Arial"/>
                <w:b/>
                <w:color w:val="000000"/>
              </w:rPr>
              <w:t>Sample Type(s):</w:t>
            </w:r>
          </w:p>
        </w:tc>
        <w:tc>
          <w:tcPr>
            <w:tcW w:w="6633" w:type="dxa"/>
            <w:gridSpan w:val="2"/>
            <w:tcBorders>
              <w:top w:val="single" w:sz="4" w:space="0" w:color="A5A5A5"/>
              <w:left w:val="single" w:sz="4" w:space="0" w:color="A5A5A5"/>
              <w:bottom w:val="single" w:sz="4" w:space="0" w:color="A5A5A5"/>
              <w:right w:val="single" w:sz="4" w:space="0" w:color="A5A5A5"/>
            </w:tcBorders>
            <w:vAlign w:val="center"/>
          </w:tcPr>
          <w:p w:rsidR="00BF1478" w:rsidP="00BF1478" w14:paraId="726778C4" w14:textId="77777777">
            <w:pPr>
              <w:pStyle w:val="NoSpacing"/>
              <w:spacing w:line="276" w:lineRule="auto"/>
              <w:rPr>
                <w:rFonts w:ascii="Arial" w:eastAsia="Times New Roman" w:hAnsi="Arial" w:cs="Arial"/>
                <w:color w:val="000000"/>
              </w:rPr>
            </w:pPr>
          </w:p>
        </w:tc>
      </w:tr>
      <w:tr w14:paraId="20295A1A" w14:textId="77777777" w:rsidTr="00BF1478">
        <w:tblPrEx>
          <w:tblW w:w="9832" w:type="dxa"/>
          <w:tblLook w:val="0600"/>
        </w:tblPrEx>
        <w:trPr>
          <w:trHeight w:val="1955"/>
        </w:trPr>
        <w:tc>
          <w:tcPr>
            <w:tcW w:w="3199" w:type="dxa"/>
            <w:tcBorders>
              <w:top w:val="single" w:sz="4" w:space="0" w:color="A5A5A5"/>
              <w:left w:val="single" w:sz="4" w:space="0" w:color="A5A5A5"/>
              <w:bottom w:val="single" w:sz="4" w:space="0" w:color="A5A5A5"/>
              <w:right w:val="single" w:sz="4" w:space="0" w:color="A5A5A5"/>
            </w:tcBorders>
            <w:vAlign w:val="center"/>
            <w:hideMark/>
          </w:tcPr>
          <w:p w:rsidR="00BF1478" w:rsidP="00BF1478" w14:paraId="01A6EB96" w14:textId="77777777">
            <w:pPr>
              <w:pStyle w:val="NoSpacing"/>
              <w:spacing w:line="276" w:lineRule="auto"/>
              <w:jc w:val="right"/>
              <w:rPr>
                <w:rFonts w:ascii="Arial" w:eastAsia="Times New Roman" w:hAnsi="Arial" w:cs="Arial"/>
                <w:b/>
                <w:color w:val="000000"/>
              </w:rPr>
            </w:pPr>
            <w:r>
              <w:rPr>
                <w:rFonts w:ascii="Arial" w:eastAsia="Times New Roman" w:hAnsi="Arial" w:cs="Arial"/>
                <w:b/>
              </w:rPr>
              <w:t>Reason for Validation:</w:t>
            </w:r>
          </w:p>
        </w:tc>
        <w:bookmarkStart w:id="2" w:name="_Hlk127879747"/>
        <w:tc>
          <w:tcPr>
            <w:tcW w:w="2129" w:type="dxa"/>
            <w:tcBorders>
              <w:top w:val="single" w:sz="4" w:space="0" w:color="A5A5A5"/>
              <w:left w:val="single" w:sz="4" w:space="0" w:color="A5A5A5"/>
              <w:bottom w:val="single" w:sz="4" w:space="0" w:color="A5A5A5"/>
              <w:right w:val="single" w:sz="4" w:space="0" w:color="A5A5A5"/>
            </w:tcBorders>
            <w:vAlign w:val="center"/>
            <w:hideMark/>
          </w:tcPr>
          <w:p w:rsidR="00BF1478" w:rsidP="00BF1478" w14:paraId="7BA8810D" w14:textId="77777777">
            <w:pPr>
              <w:pStyle w:val="NoSpacing"/>
              <w:spacing w:line="276" w:lineRule="auto"/>
              <w:rPr>
                <w:rFonts w:ascii="Arial" w:eastAsia="Times New Roman" w:hAnsi="Arial" w:cs="Arial"/>
                <w:color w:val="000000"/>
              </w:rPr>
            </w:pPr>
            <w:sdt>
              <w:sdtPr>
                <w:rPr>
                  <w:rFonts w:ascii="Segoe UI Symbol" w:eastAsia="MS Gothic" w:hAnsi="Segoe UI Symbol" w:cs="Segoe UI Symbol"/>
                  <w:color w:val="000000"/>
                </w:rPr>
                <w:id w:val="-545057805"/>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rPr>
              <w:t xml:space="preserve"> </w:t>
            </w:r>
            <w:r>
              <w:rPr>
                <w:rFonts w:ascii="Arial" w:eastAsia="Times New Roman" w:hAnsi="Arial" w:cs="Arial"/>
              </w:rPr>
              <w:t xml:space="preserve"> </w:t>
            </w:r>
            <w:bookmarkEnd w:id="2"/>
            <w:r>
              <w:rPr>
                <w:rFonts w:ascii="Arial" w:eastAsia="Times New Roman" w:hAnsi="Arial" w:cs="Arial"/>
              </w:rPr>
              <w:t>Initial Validation</w:t>
            </w:r>
          </w:p>
        </w:tc>
        <w:tc>
          <w:tcPr>
            <w:tcW w:w="4504" w:type="dxa"/>
            <w:tcBorders>
              <w:top w:val="single" w:sz="4" w:space="0" w:color="A5A5A5"/>
              <w:left w:val="single" w:sz="4" w:space="0" w:color="A5A5A5"/>
              <w:bottom w:val="single" w:sz="4" w:space="0" w:color="A5A5A5"/>
              <w:right w:val="single" w:sz="4" w:space="0" w:color="A5A5A5"/>
            </w:tcBorders>
            <w:vAlign w:val="center"/>
            <w:hideMark/>
          </w:tcPr>
          <w:p w:rsidR="00BF1478" w:rsidP="00BF1478" w14:paraId="0A6BCC55" w14:textId="77777777">
            <w:pPr>
              <w:pStyle w:val="NoSpacing"/>
              <w:spacing w:line="276" w:lineRule="auto"/>
              <w:rPr>
                <w:rFonts w:ascii="Arial" w:eastAsia="Times New Roman" w:hAnsi="Arial" w:cs="Arial"/>
              </w:rPr>
            </w:pPr>
            <w:sdt>
              <w:sdtPr>
                <w:rPr>
                  <w:rFonts w:ascii="Segoe UI Symbol" w:eastAsia="MS Gothic" w:hAnsi="Segoe UI Symbol" w:cs="Segoe UI Symbol"/>
                  <w:color w:val="000000"/>
                </w:rPr>
                <w:id w:val="-961722759"/>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rPr>
              <w:t xml:space="preserve"> </w:t>
            </w:r>
            <w:r>
              <w:rPr>
                <w:rFonts w:ascii="Arial" w:eastAsia="Times New Roman" w:hAnsi="Arial" w:cs="Arial"/>
              </w:rPr>
              <w:t xml:space="preserve">Re-validation </w:t>
            </w:r>
            <w:r>
              <w:rPr>
                <w:rFonts w:ascii="Arial" w:eastAsia="Times New Roman" w:hAnsi="Arial" w:cs="Arial"/>
                <w:sz w:val="18"/>
              </w:rPr>
              <w:t>(choose one below)</w:t>
            </w:r>
          </w:p>
          <w:p w:rsidR="00BF1478" w:rsidP="00BF1478" w14:paraId="648A9A97" w14:textId="77777777">
            <w:pPr>
              <w:pStyle w:val="NoSpacing"/>
              <w:spacing w:line="276" w:lineRule="auto"/>
              <w:rPr>
                <w:rFonts w:ascii="Arial" w:eastAsia="Times New Roman" w:hAnsi="Arial" w:cs="Arial"/>
                <w:color w:val="000000"/>
              </w:rPr>
            </w:pPr>
            <w:r>
              <w:rPr>
                <w:rFonts w:ascii="Arial" w:eastAsia="Times New Roman" w:hAnsi="Arial" w:cs="Arial"/>
                <w:color w:val="000000"/>
              </w:rPr>
              <w:tab/>
            </w:r>
            <w:r w:rsidR="0082033F">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69242754"/>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color w:val="000000"/>
              </w:rPr>
              <w:t>Instrument move</w:t>
            </w:r>
          </w:p>
          <w:p w:rsidR="00BF1478" w:rsidP="00BF1478" w14:paraId="34597829" w14:textId="77777777">
            <w:pPr>
              <w:pStyle w:val="NoSpacing"/>
              <w:spacing w:line="276" w:lineRule="auto"/>
              <w:rPr>
                <w:rFonts w:ascii="Arial" w:eastAsia="Times New Roman" w:hAnsi="Arial" w:cs="Arial"/>
                <w:color w:val="000000"/>
              </w:rPr>
            </w:pPr>
            <w:r>
              <w:rPr>
                <w:rFonts w:ascii="Arial" w:eastAsia="Times New Roman" w:hAnsi="Arial" w:cs="Arial"/>
                <w:color w:val="000000"/>
              </w:rPr>
              <w:tab/>
            </w:r>
            <w:r w:rsidR="0082033F">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1764453924"/>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color w:val="000000"/>
              </w:rPr>
              <w:t>Instrument modified</w:t>
            </w:r>
          </w:p>
          <w:p w:rsidR="00BF1478" w:rsidP="00BF1478" w14:paraId="6763868C" w14:textId="77777777">
            <w:pPr>
              <w:pStyle w:val="NoSpacing"/>
              <w:spacing w:line="276" w:lineRule="auto"/>
              <w:rPr>
                <w:rFonts w:ascii="Arial" w:eastAsia="Times New Roman" w:hAnsi="Arial" w:cs="Arial"/>
                <w:color w:val="000000"/>
              </w:rPr>
            </w:pPr>
            <w:r>
              <w:rPr>
                <w:rFonts w:ascii="Arial" w:eastAsia="Times New Roman" w:hAnsi="Arial" w:cs="Arial"/>
                <w:color w:val="000000"/>
              </w:rPr>
              <w:tab/>
            </w:r>
            <w:r w:rsidR="0082033F">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1793193354"/>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color w:val="000000"/>
              </w:rPr>
              <w:t>Method change</w:t>
            </w:r>
          </w:p>
          <w:p w:rsidR="00BF1478" w:rsidP="00BF1478" w14:paraId="702D97E7" w14:textId="77777777">
            <w:pPr>
              <w:pStyle w:val="NoSpacing"/>
              <w:spacing w:line="276" w:lineRule="auto"/>
              <w:rPr>
                <w:rFonts w:ascii="Arial" w:eastAsia="Times New Roman" w:hAnsi="Arial" w:cs="Arial"/>
                <w:color w:val="000000"/>
              </w:rPr>
            </w:pPr>
            <w:r>
              <w:rPr>
                <w:rFonts w:ascii="Arial" w:eastAsia="Times New Roman" w:hAnsi="Arial" w:cs="Arial"/>
                <w:color w:val="000000"/>
              </w:rPr>
              <w:tab/>
            </w:r>
            <w:r w:rsidR="0082033F">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1695498941"/>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color w:val="000000"/>
              </w:rPr>
              <w:t>Other: ____________________</w:t>
            </w:r>
          </w:p>
        </w:tc>
      </w:tr>
      <w:tr w14:paraId="3C067ECF" w14:textId="77777777" w:rsidTr="00BF1478">
        <w:tblPrEx>
          <w:tblW w:w="9832" w:type="dxa"/>
          <w:tblLook w:val="0600"/>
        </w:tblPrEx>
        <w:trPr>
          <w:trHeight w:val="977"/>
        </w:trPr>
        <w:tc>
          <w:tcPr>
            <w:tcW w:w="3199" w:type="dxa"/>
            <w:tcBorders>
              <w:top w:val="single" w:sz="4" w:space="0" w:color="A5A5A5"/>
              <w:left w:val="single" w:sz="4" w:space="0" w:color="A5A5A5"/>
              <w:bottom w:val="single" w:sz="4" w:space="0" w:color="A5A5A5"/>
              <w:right w:val="single" w:sz="4" w:space="0" w:color="A5A5A5"/>
            </w:tcBorders>
            <w:vAlign w:val="center"/>
            <w:hideMark/>
          </w:tcPr>
          <w:p w:rsidR="00BF1478" w:rsidP="00BF1478" w14:paraId="6D72618C" w14:textId="77777777">
            <w:pPr>
              <w:pStyle w:val="NoSpacing"/>
              <w:spacing w:line="276" w:lineRule="auto"/>
              <w:jc w:val="right"/>
              <w:rPr>
                <w:rFonts w:ascii="Arial" w:hAnsi="Arial" w:cs="Arial"/>
                <w:b/>
              </w:rPr>
            </w:pPr>
            <w:r>
              <w:rPr>
                <w:rFonts w:ascii="Arial" w:hAnsi="Arial" w:cs="Arial"/>
                <w:b/>
              </w:rPr>
              <w:t>Regulatory Status:</w:t>
            </w:r>
          </w:p>
          <w:p w:rsidR="00BF1478" w:rsidP="00BF1478" w14:paraId="58152A59" w14:textId="77777777">
            <w:pPr>
              <w:pStyle w:val="NoSpacing"/>
              <w:spacing w:line="276" w:lineRule="auto"/>
              <w:jc w:val="right"/>
              <w:rPr>
                <w:rFonts w:ascii="Arial" w:hAnsi="Arial" w:cs="Arial"/>
              </w:rPr>
            </w:pPr>
            <w:r>
              <w:rPr>
                <w:rFonts w:ascii="Arial" w:hAnsi="Arial" w:cs="Arial"/>
                <w:sz w:val="18"/>
              </w:rPr>
              <w:t>(check all that apply)</w:t>
            </w:r>
          </w:p>
        </w:tc>
        <w:tc>
          <w:tcPr>
            <w:tcW w:w="6633" w:type="dxa"/>
            <w:gridSpan w:val="2"/>
            <w:tcBorders>
              <w:top w:val="single" w:sz="4" w:space="0" w:color="A5A5A5"/>
              <w:left w:val="single" w:sz="4" w:space="0" w:color="A5A5A5"/>
              <w:bottom w:val="single" w:sz="4" w:space="0" w:color="A5A5A5"/>
              <w:right w:val="single" w:sz="4" w:space="0" w:color="A5A5A5"/>
            </w:tcBorders>
            <w:vAlign w:val="center"/>
            <w:hideMark/>
          </w:tcPr>
          <w:p w:rsidR="00BF1478" w:rsidP="00BF1478" w14:paraId="3F068727" w14:textId="77777777">
            <w:pPr>
              <w:pStyle w:val="NoSpacing"/>
              <w:spacing w:line="276" w:lineRule="auto"/>
              <w:rPr>
                <w:rFonts w:ascii="Arial" w:eastAsia="Times New Roman" w:hAnsi="Arial" w:cs="Arial"/>
                <w:color w:val="000000"/>
              </w:rPr>
            </w:pPr>
            <w:sdt>
              <w:sdtPr>
                <w:rPr>
                  <w:rFonts w:ascii="Segoe UI Symbol" w:eastAsia="MS Gothic" w:hAnsi="Segoe UI Symbol" w:cs="Segoe UI Symbol"/>
                  <w:color w:val="000000"/>
                </w:rPr>
                <w:id w:val="-1821561355"/>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rPr>
              <w:t xml:space="preserve"> </w:t>
            </w:r>
            <w:r>
              <w:rPr>
                <w:rFonts w:ascii="Arial" w:eastAsia="Times New Roman" w:hAnsi="Arial" w:cs="Arial"/>
              </w:rPr>
              <w:t>FDA Approved</w:t>
            </w:r>
            <w:r>
              <w:rPr>
                <w:rFonts w:ascii="Arial" w:eastAsia="Times New Roman" w:hAnsi="Arial" w:cs="Arial"/>
              </w:rPr>
              <w:tab/>
            </w:r>
            <w:r w:rsidR="0082033F">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1621066221"/>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color w:val="000000"/>
              </w:rPr>
              <w:t xml:space="preserve">FDA </w:t>
            </w:r>
            <w:r>
              <w:rPr>
                <w:rFonts w:ascii="Arial" w:eastAsia="Times New Roman" w:hAnsi="Arial" w:cs="Arial"/>
              </w:rPr>
              <w:t>Cleared</w:t>
            </w:r>
            <w:r>
              <w:rPr>
                <w:rFonts w:ascii="Arial" w:eastAsia="Times New Roman" w:hAnsi="Arial" w:cs="Arial"/>
              </w:rPr>
              <w:tab/>
            </w:r>
            <w:r w:rsidR="0082033F">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336160756"/>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rPr>
              <w:t xml:space="preserve"> </w:t>
            </w:r>
            <w:r>
              <w:rPr>
                <w:rFonts w:ascii="Arial" w:eastAsia="Times New Roman" w:hAnsi="Arial" w:cs="Arial"/>
              </w:rPr>
              <w:t>CE Marked</w:t>
            </w:r>
          </w:p>
          <w:p w:rsidR="00BF1478" w:rsidP="00BF1478" w14:paraId="787BAF71" w14:textId="77777777">
            <w:pPr>
              <w:pStyle w:val="NoSpacing"/>
              <w:spacing w:line="276" w:lineRule="auto"/>
              <w:rPr>
                <w:rFonts w:ascii="Arial" w:eastAsia="Times New Roman" w:hAnsi="Arial" w:cs="Arial"/>
              </w:rPr>
            </w:pPr>
            <w:sdt>
              <w:sdtPr>
                <w:rPr>
                  <w:rFonts w:ascii="Segoe UI Symbol" w:eastAsia="MS Gothic" w:hAnsi="Segoe UI Symbol" w:cs="Segoe UI Symbol"/>
                  <w:color w:val="000000"/>
                </w:rPr>
                <w:id w:val="1877728530"/>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color w:val="000000"/>
              </w:rPr>
              <w:t xml:space="preserve">EUA </w:t>
            </w:r>
            <w:r>
              <w:rPr>
                <w:rFonts w:ascii="Arial" w:eastAsia="Times New Roman" w:hAnsi="Arial" w:cs="Arial"/>
                <w:color w:val="000000"/>
              </w:rPr>
              <w:tab/>
            </w:r>
            <w:r>
              <w:rPr>
                <w:rFonts w:ascii="Arial" w:eastAsia="Times New Roman" w:hAnsi="Arial" w:cs="Arial"/>
                <w:color w:val="000000"/>
              </w:rPr>
              <w:tab/>
            </w:r>
            <w:r w:rsidR="0082033F">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1402488893"/>
                <w14:checkbox>
                  <w14:checked w14:val="0"/>
                  <w14:checkedState w14:val="2612" w14:font="MS Gothic"/>
                  <w14:uncheckedState w14:val="2610" w14:font="MS Gothic"/>
                </w14:checkbox>
              </w:sdtPr>
              <w:sdtContent>
                <w:r w:rsidR="0082033F">
                  <w:rPr>
                    <w:rFonts w:ascii="MS Gothic" w:eastAsia="MS Gothic" w:hAnsi="MS Gothic" w:cs="Segoe UI Symbol" w:hint="eastAsia"/>
                    <w:color w:val="000000"/>
                  </w:rPr>
                  <w:t>☐</w:t>
                </w:r>
              </w:sdtContent>
            </w:sdt>
            <w:r w:rsidR="0082033F">
              <w:rPr>
                <w:rFonts w:ascii="Arial" w:eastAsia="Times New Roman" w:hAnsi="Arial" w:cs="Arial"/>
                <w:color w:val="000000"/>
              </w:rPr>
              <w:t xml:space="preserve"> </w:t>
            </w:r>
            <w:r>
              <w:rPr>
                <w:rFonts w:ascii="Arial" w:eastAsia="Times New Roman" w:hAnsi="Arial" w:cs="Arial"/>
                <w:color w:val="000000"/>
              </w:rPr>
              <w:t>None</w:t>
            </w:r>
          </w:p>
        </w:tc>
      </w:tr>
    </w:tbl>
    <w:bookmarkEnd w:id="1"/>
    <w:p w:rsidR="008940C2" w:rsidRPr="00211A50" w:rsidP="00211A50" w14:paraId="603B8F4F" w14:textId="77777777">
      <w:pPr>
        <w:numPr>
          <w:ilvl w:val="0"/>
          <w:numId w:val="20"/>
        </w:numPr>
        <w:spacing w:before="240" w:line="276" w:lineRule="auto"/>
        <w:rPr>
          <w:rFonts w:ascii="Arial" w:hAnsi="Arial" w:cs="Arial"/>
          <w:b/>
          <w:sz w:val="22"/>
          <w:szCs w:val="22"/>
        </w:rPr>
      </w:pPr>
      <w:r w:rsidRPr="00211A50">
        <w:rPr>
          <w:rFonts w:ascii="Arial" w:hAnsi="Arial" w:cs="Arial"/>
          <w:b/>
          <w:sz w:val="22"/>
          <w:szCs w:val="22"/>
        </w:rPr>
        <w:t>Overview</w:t>
      </w:r>
    </w:p>
    <w:p w:rsidR="00BF1478" w:rsidRPr="00211A50" w:rsidP="00211A50" w14:paraId="56338F6F" w14:textId="1D973A38">
      <w:pPr>
        <w:numPr>
          <w:ilvl w:val="1"/>
          <w:numId w:val="20"/>
        </w:numPr>
        <w:spacing w:line="276" w:lineRule="auto"/>
        <w:rPr>
          <w:rFonts w:ascii="Arial" w:hAnsi="Arial" w:cs="Arial"/>
          <w:sz w:val="22"/>
          <w:szCs w:val="22"/>
        </w:rPr>
      </w:pPr>
      <w:r w:rsidRPr="00211A50">
        <w:rPr>
          <w:rFonts w:ascii="Arial" w:hAnsi="Arial" w:cs="Arial"/>
          <w:sz w:val="22"/>
          <w:szCs w:val="22"/>
        </w:rPr>
        <w:t>This plan was</w:t>
      </w:r>
      <w:r w:rsidR="00500826">
        <w:rPr>
          <w:rFonts w:ascii="Arial" w:hAnsi="Arial" w:cs="Arial"/>
          <w:sz w:val="22"/>
          <w:szCs w:val="22"/>
        </w:rPr>
        <w:t xml:space="preserve"> written using “VAL 2001_</w:t>
      </w:r>
      <w:r w:rsidRPr="00211A50">
        <w:rPr>
          <w:rFonts w:ascii="Arial" w:hAnsi="Arial" w:cs="Arial"/>
          <w:sz w:val="22"/>
          <w:szCs w:val="22"/>
        </w:rPr>
        <w:t xml:space="preserve">Quantitative Validation Guidelines” as a reference, please refer to this document if more details are needed. </w:t>
      </w:r>
    </w:p>
    <w:p w:rsidR="0082033F" w:rsidRPr="00211A50" w:rsidP="00211A50" w14:paraId="131269FF" w14:textId="77777777">
      <w:pPr>
        <w:numPr>
          <w:ilvl w:val="1"/>
          <w:numId w:val="20"/>
        </w:numPr>
        <w:spacing w:line="276" w:lineRule="auto"/>
        <w:rPr>
          <w:rFonts w:ascii="Arial" w:hAnsi="Arial" w:cs="Arial"/>
          <w:sz w:val="22"/>
          <w:szCs w:val="22"/>
        </w:rPr>
      </w:pPr>
      <w:r w:rsidRPr="00211A50">
        <w:rPr>
          <w:rFonts w:ascii="Arial" w:hAnsi="Arial" w:cs="Arial"/>
          <w:sz w:val="22"/>
          <w:szCs w:val="22"/>
        </w:rPr>
        <w:t xml:space="preserve">All raw data reports will be saved in </w:t>
      </w:r>
      <w:r w:rsidRPr="00211A50">
        <w:rPr>
          <w:rFonts w:ascii="Arial" w:hAnsi="Arial" w:cs="Arial"/>
          <w:color w:val="4472C4" w:themeColor="accent1"/>
          <w:sz w:val="22"/>
          <w:szCs w:val="22"/>
        </w:rPr>
        <w:t>(</w:t>
      </w:r>
      <w:r w:rsidRPr="00514900">
        <w:rPr>
          <w:rFonts w:ascii="Arial" w:hAnsi="Arial" w:cs="Arial"/>
          <w:color w:val="4472C4"/>
          <w:sz w:val="22"/>
          <w:szCs w:val="22"/>
        </w:rPr>
        <w:t>insert</w:t>
      </w:r>
      <w:r w:rsidRPr="00211A50">
        <w:rPr>
          <w:rFonts w:ascii="Arial" w:hAnsi="Arial" w:cs="Arial"/>
          <w:color w:val="4472C4" w:themeColor="accent1"/>
          <w:sz w:val="22"/>
          <w:szCs w:val="22"/>
        </w:rPr>
        <w:t xml:space="preserve"> location</w:t>
      </w:r>
      <w:r w:rsidR="00811404">
        <w:rPr>
          <w:rFonts w:ascii="Arial" w:hAnsi="Arial" w:cs="Arial"/>
          <w:color w:val="4472C4" w:themeColor="accent1"/>
          <w:sz w:val="22"/>
          <w:szCs w:val="22"/>
        </w:rPr>
        <w:t xml:space="preserve"> details</w:t>
      </w:r>
      <w:r w:rsidRPr="00211A50">
        <w:rPr>
          <w:rFonts w:ascii="Arial" w:hAnsi="Arial" w:cs="Arial"/>
          <w:color w:val="4472C4" w:themeColor="accent1"/>
          <w:sz w:val="22"/>
          <w:szCs w:val="22"/>
        </w:rPr>
        <w:t>)</w:t>
      </w:r>
    </w:p>
    <w:p w:rsidR="008940C2" w:rsidRPr="00211A50" w:rsidP="00211A50" w14:paraId="447918DA" w14:textId="77777777">
      <w:pPr>
        <w:numPr>
          <w:ilvl w:val="1"/>
          <w:numId w:val="20"/>
        </w:numPr>
        <w:spacing w:line="276" w:lineRule="auto"/>
        <w:rPr>
          <w:rFonts w:ascii="Arial" w:hAnsi="Arial" w:cs="Arial"/>
          <w:sz w:val="22"/>
          <w:szCs w:val="22"/>
        </w:rPr>
      </w:pPr>
      <w:r w:rsidRPr="00211A50">
        <w:rPr>
          <w:rFonts w:ascii="Arial" w:hAnsi="Arial" w:cs="Arial"/>
          <w:sz w:val="22"/>
          <w:szCs w:val="22"/>
        </w:rPr>
        <w:t>The plan includes the following sections:</w:t>
      </w:r>
    </w:p>
    <w:p w:rsidR="008940C2" w:rsidRPr="00211A50" w:rsidP="00211A50" w14:paraId="74BB4C64" w14:textId="77777777">
      <w:pPr>
        <w:pStyle w:val="ListParagraph"/>
        <w:numPr>
          <w:ilvl w:val="0"/>
          <w:numId w:val="21"/>
        </w:numPr>
        <w:spacing w:line="276" w:lineRule="auto"/>
        <w:rPr>
          <w:rFonts w:ascii="Arial" w:hAnsi="Arial" w:cs="Arial"/>
          <w:sz w:val="22"/>
          <w:szCs w:val="22"/>
        </w:rPr>
      </w:pPr>
      <w:r w:rsidRPr="00211A50">
        <w:rPr>
          <w:rFonts w:ascii="Arial" w:hAnsi="Arial" w:cs="Arial"/>
          <w:sz w:val="22"/>
          <w:szCs w:val="22"/>
        </w:rPr>
        <w:t>Precision</w:t>
      </w:r>
    </w:p>
    <w:p w:rsidR="008940C2" w:rsidRPr="00211A50" w:rsidP="00211A50" w14:paraId="506E996E" w14:textId="77777777">
      <w:pPr>
        <w:pStyle w:val="ListParagraph"/>
        <w:numPr>
          <w:ilvl w:val="0"/>
          <w:numId w:val="21"/>
        </w:numPr>
        <w:spacing w:line="276" w:lineRule="auto"/>
        <w:rPr>
          <w:rFonts w:ascii="Arial" w:hAnsi="Arial" w:cs="Arial"/>
          <w:sz w:val="22"/>
          <w:szCs w:val="22"/>
        </w:rPr>
      </w:pPr>
      <w:r w:rsidRPr="00211A50">
        <w:rPr>
          <w:rFonts w:ascii="Arial" w:hAnsi="Arial" w:cs="Arial"/>
          <w:sz w:val="22"/>
          <w:szCs w:val="22"/>
        </w:rPr>
        <w:t>Accuracy</w:t>
      </w:r>
    </w:p>
    <w:p w:rsidR="00BF1478" w:rsidRPr="00211A50" w:rsidP="00211A50" w14:paraId="3E00E99A" w14:textId="77777777">
      <w:pPr>
        <w:pStyle w:val="ListParagraph"/>
        <w:numPr>
          <w:ilvl w:val="0"/>
          <w:numId w:val="21"/>
        </w:numPr>
        <w:spacing w:line="276" w:lineRule="auto"/>
        <w:rPr>
          <w:rFonts w:ascii="Arial" w:hAnsi="Arial" w:cs="Arial"/>
          <w:sz w:val="22"/>
          <w:szCs w:val="22"/>
        </w:rPr>
      </w:pPr>
      <w:r w:rsidRPr="00211A50">
        <w:rPr>
          <w:rFonts w:ascii="Arial" w:hAnsi="Arial" w:cs="Arial"/>
          <w:sz w:val="22"/>
          <w:szCs w:val="22"/>
        </w:rPr>
        <w:t>Linearity</w:t>
      </w:r>
    </w:p>
    <w:p w:rsidR="00BF1478" w:rsidRPr="00211A50" w:rsidP="00211A50" w14:paraId="440E8E37" w14:textId="01C7EF9F">
      <w:pPr>
        <w:pStyle w:val="ListParagraph"/>
        <w:numPr>
          <w:ilvl w:val="0"/>
          <w:numId w:val="21"/>
        </w:numPr>
        <w:spacing w:line="276" w:lineRule="auto"/>
        <w:rPr>
          <w:rFonts w:ascii="Arial" w:hAnsi="Arial" w:cs="Arial"/>
          <w:sz w:val="22"/>
          <w:szCs w:val="22"/>
        </w:rPr>
      </w:pPr>
      <w:bookmarkStart w:id="3" w:name="_Hlk132619513"/>
      <w:r w:rsidRPr="00211A50">
        <w:rPr>
          <w:rFonts w:ascii="Arial" w:hAnsi="Arial" w:cs="Arial"/>
          <w:sz w:val="22"/>
          <w:szCs w:val="22"/>
        </w:rPr>
        <w:t xml:space="preserve">Analytic Measurement Range </w:t>
      </w:r>
      <w:r w:rsidR="00313E4A">
        <w:rPr>
          <w:rFonts w:ascii="Arial" w:hAnsi="Arial" w:cs="Arial"/>
          <w:sz w:val="22"/>
          <w:szCs w:val="22"/>
        </w:rPr>
        <w:t xml:space="preserve">(AMR) </w:t>
      </w:r>
      <w:r w:rsidRPr="00211A50">
        <w:rPr>
          <w:rFonts w:ascii="Arial" w:hAnsi="Arial" w:cs="Arial"/>
          <w:sz w:val="22"/>
          <w:szCs w:val="22"/>
        </w:rPr>
        <w:t xml:space="preserve">and </w:t>
      </w:r>
      <w:r w:rsidRPr="00514900">
        <w:rPr>
          <w:rFonts w:ascii="Arial" w:hAnsi="Arial" w:cs="Arial"/>
          <w:sz w:val="22"/>
          <w:szCs w:val="22"/>
        </w:rPr>
        <w:t>Clinical</w:t>
      </w:r>
      <w:r w:rsidRPr="00211A50">
        <w:rPr>
          <w:rFonts w:ascii="Arial" w:hAnsi="Arial" w:cs="Arial"/>
          <w:sz w:val="22"/>
          <w:szCs w:val="22"/>
        </w:rPr>
        <w:t xml:space="preserve"> Reportable Range</w:t>
      </w:r>
      <w:bookmarkEnd w:id="3"/>
      <w:r w:rsidR="00313E4A">
        <w:rPr>
          <w:rFonts w:ascii="Arial" w:hAnsi="Arial" w:cs="Arial"/>
          <w:sz w:val="22"/>
          <w:szCs w:val="22"/>
        </w:rPr>
        <w:t xml:space="preserve"> (CRR)</w:t>
      </w:r>
    </w:p>
    <w:p w:rsidR="008940C2" w:rsidRPr="00211A50" w:rsidP="00211A50" w14:paraId="7D72A294" w14:textId="77777777">
      <w:pPr>
        <w:pStyle w:val="ListParagraph"/>
        <w:numPr>
          <w:ilvl w:val="0"/>
          <w:numId w:val="21"/>
        </w:numPr>
        <w:spacing w:line="276" w:lineRule="auto"/>
        <w:rPr>
          <w:rFonts w:ascii="Arial" w:hAnsi="Arial" w:cs="Arial"/>
          <w:sz w:val="22"/>
          <w:szCs w:val="22"/>
        </w:rPr>
      </w:pPr>
      <w:r w:rsidRPr="00211A50">
        <w:rPr>
          <w:rFonts w:ascii="Arial" w:hAnsi="Arial" w:cs="Arial"/>
          <w:sz w:val="22"/>
          <w:szCs w:val="22"/>
        </w:rPr>
        <w:t>Analytical Sensitivity</w:t>
      </w:r>
      <w:r w:rsidRPr="00211A50" w:rsidR="00BF1478">
        <w:rPr>
          <w:rFonts w:ascii="Arial" w:hAnsi="Arial" w:cs="Arial"/>
          <w:sz w:val="22"/>
          <w:szCs w:val="22"/>
        </w:rPr>
        <w:t xml:space="preserve"> and </w:t>
      </w:r>
      <w:r w:rsidRPr="00211A50">
        <w:rPr>
          <w:rFonts w:ascii="Arial" w:hAnsi="Arial" w:cs="Arial"/>
          <w:sz w:val="22"/>
          <w:szCs w:val="22"/>
        </w:rPr>
        <w:t>Specificity</w:t>
      </w:r>
    </w:p>
    <w:p w:rsidR="00BF1478" w:rsidRPr="00211A50" w:rsidP="00211A50" w14:paraId="31D3F65C" w14:textId="77777777">
      <w:pPr>
        <w:pStyle w:val="ListParagraph"/>
        <w:numPr>
          <w:ilvl w:val="0"/>
          <w:numId w:val="21"/>
        </w:numPr>
        <w:spacing w:line="276" w:lineRule="auto"/>
        <w:rPr>
          <w:rFonts w:ascii="Arial" w:hAnsi="Arial" w:cs="Arial"/>
          <w:sz w:val="22"/>
          <w:szCs w:val="22"/>
        </w:rPr>
      </w:pPr>
      <w:r w:rsidRPr="00211A50">
        <w:rPr>
          <w:rFonts w:ascii="Arial" w:hAnsi="Arial" w:cs="Arial"/>
          <w:sz w:val="22"/>
          <w:szCs w:val="22"/>
        </w:rPr>
        <w:t>Reference Ranges</w:t>
      </w:r>
    </w:p>
    <w:p w:rsidR="00BF1478" w:rsidRPr="00211A50" w:rsidP="00211A50" w14:paraId="2B9F0529" w14:textId="77777777">
      <w:pPr>
        <w:pStyle w:val="ListParagraph"/>
        <w:numPr>
          <w:ilvl w:val="0"/>
          <w:numId w:val="21"/>
        </w:numPr>
        <w:spacing w:line="276" w:lineRule="auto"/>
        <w:rPr>
          <w:rFonts w:ascii="Arial" w:hAnsi="Arial" w:cs="Arial"/>
          <w:sz w:val="22"/>
          <w:szCs w:val="22"/>
        </w:rPr>
      </w:pPr>
      <w:r w:rsidRPr="00211A50">
        <w:rPr>
          <w:rFonts w:ascii="Arial" w:hAnsi="Arial" w:cs="Arial"/>
          <w:sz w:val="22"/>
          <w:szCs w:val="22"/>
        </w:rPr>
        <w:t>Method Approval</w:t>
      </w:r>
    </w:p>
    <w:p w:rsidR="008940C2" w:rsidRPr="00211A50" w:rsidP="00211A50" w14:paraId="0E95B24A" w14:textId="02A082A4">
      <w:pPr>
        <w:pStyle w:val="ListParagraph"/>
        <w:numPr>
          <w:ilvl w:val="0"/>
          <w:numId w:val="21"/>
        </w:numPr>
        <w:spacing w:line="276" w:lineRule="auto"/>
        <w:rPr>
          <w:rFonts w:ascii="Arial" w:hAnsi="Arial" w:cs="Arial"/>
          <w:color w:val="4472C4"/>
          <w:sz w:val="22"/>
          <w:szCs w:val="22"/>
        </w:rPr>
      </w:pPr>
      <w:r w:rsidRPr="00211A50">
        <w:rPr>
          <w:rFonts w:ascii="Arial" w:hAnsi="Arial" w:cs="Arial"/>
          <w:color w:val="4472C4"/>
          <w:sz w:val="22"/>
          <w:szCs w:val="22"/>
        </w:rPr>
        <w:t>(Insert/remove additional sections if needed</w:t>
      </w:r>
      <w:r w:rsidRPr="00211A50" w:rsidR="0035742C">
        <w:rPr>
          <w:rFonts w:ascii="Arial" w:hAnsi="Arial" w:cs="Arial"/>
          <w:color w:val="4472C4"/>
          <w:sz w:val="22"/>
          <w:szCs w:val="22"/>
        </w:rPr>
        <w:t>-</w:t>
      </w:r>
      <w:r w:rsidR="00056698">
        <w:rPr>
          <w:rFonts w:ascii="Arial" w:hAnsi="Arial" w:cs="Arial"/>
          <w:color w:val="4472C4"/>
          <w:sz w:val="22"/>
          <w:szCs w:val="22"/>
        </w:rPr>
        <w:t>e.g.</w:t>
      </w:r>
      <w:r w:rsidR="00A835BF">
        <w:rPr>
          <w:rFonts w:ascii="Arial" w:hAnsi="Arial" w:cs="Arial"/>
          <w:color w:val="4472C4"/>
          <w:sz w:val="22"/>
          <w:szCs w:val="22"/>
        </w:rPr>
        <w:t xml:space="preserve"> Carryover)</w:t>
      </w:r>
      <w:r w:rsidRPr="00211A50">
        <w:rPr>
          <w:rFonts w:ascii="Arial" w:hAnsi="Arial" w:cs="Arial"/>
          <w:color w:val="4472C4"/>
          <w:sz w:val="22"/>
          <w:szCs w:val="22"/>
        </w:rPr>
        <w:t>)</w:t>
      </w:r>
    </w:p>
    <w:p w:rsidR="00FB2098" w:rsidRPr="00211A50" w:rsidP="00211A50" w14:paraId="1FE583CC" w14:textId="77777777">
      <w:pPr>
        <w:spacing w:line="276" w:lineRule="auto"/>
        <w:rPr>
          <w:rFonts w:ascii="Arial" w:hAnsi="Arial" w:cs="Arial"/>
          <w:sz w:val="22"/>
          <w:szCs w:val="22"/>
        </w:rPr>
      </w:pPr>
    </w:p>
    <w:p w:rsidR="00C64644" w:rsidRPr="00211A50" w:rsidP="00211A50" w14:paraId="42FDE474" w14:textId="77777777">
      <w:pPr>
        <w:numPr>
          <w:ilvl w:val="0"/>
          <w:numId w:val="20"/>
        </w:numPr>
        <w:spacing w:line="276" w:lineRule="auto"/>
        <w:rPr>
          <w:rFonts w:ascii="Arial" w:hAnsi="Arial" w:cs="Arial"/>
          <w:b/>
          <w:sz w:val="22"/>
          <w:szCs w:val="22"/>
        </w:rPr>
      </w:pPr>
      <w:r w:rsidRPr="00211A50">
        <w:rPr>
          <w:rFonts w:ascii="Arial" w:hAnsi="Arial" w:cs="Arial"/>
          <w:b/>
          <w:sz w:val="22"/>
          <w:szCs w:val="22"/>
        </w:rPr>
        <w:t>Precision</w:t>
      </w:r>
    </w:p>
    <w:p w:rsidR="00FB1C7E" w:rsidRPr="00FD5457" w:rsidP="00FD5457" w14:paraId="21320A96" w14:textId="77777777">
      <w:pPr>
        <w:numPr>
          <w:ilvl w:val="0"/>
          <w:numId w:val="6"/>
        </w:numPr>
        <w:spacing w:line="276" w:lineRule="auto"/>
        <w:rPr>
          <w:rFonts w:ascii="Arial" w:hAnsi="Arial" w:cs="Arial"/>
          <w:color w:val="0000FF"/>
          <w:sz w:val="22"/>
          <w:szCs w:val="22"/>
        </w:rPr>
      </w:pPr>
      <w:bookmarkStart w:id="4" w:name="_Hlk132617395"/>
      <w:r w:rsidRPr="00211A50">
        <w:rPr>
          <w:rFonts w:ascii="Arial" w:hAnsi="Arial" w:cs="Arial"/>
          <w:sz w:val="22"/>
          <w:szCs w:val="22"/>
        </w:rPr>
        <w:t>Precision is reproducibility -</w:t>
      </w:r>
      <w:r w:rsidRPr="00211A50" w:rsidR="002356F2">
        <w:rPr>
          <w:rFonts w:ascii="Arial" w:hAnsi="Arial" w:cs="Arial"/>
          <w:sz w:val="22"/>
          <w:szCs w:val="22"/>
        </w:rPr>
        <w:t xml:space="preserve"> the agreement of the measurements of replicate runs of the same sample.</w:t>
      </w:r>
      <w:r w:rsidRPr="00211A50" w:rsidR="00FB2098">
        <w:rPr>
          <w:rFonts w:ascii="Arial" w:hAnsi="Arial" w:cs="Arial"/>
          <w:sz w:val="22"/>
          <w:szCs w:val="22"/>
        </w:rPr>
        <w:t xml:space="preserve"> </w:t>
      </w:r>
      <w:r w:rsidRPr="00211A50" w:rsidR="00E210A7">
        <w:rPr>
          <w:rFonts w:ascii="Arial" w:hAnsi="Arial" w:cs="Arial"/>
          <w:color w:val="000000"/>
          <w:sz w:val="22"/>
          <w:szCs w:val="22"/>
        </w:rPr>
        <w:t>It</w:t>
      </w:r>
      <w:r w:rsidRPr="00211A50" w:rsidR="002356F2">
        <w:rPr>
          <w:rFonts w:ascii="Arial" w:hAnsi="Arial" w:cs="Arial"/>
          <w:sz w:val="22"/>
          <w:szCs w:val="22"/>
        </w:rPr>
        <w:t xml:space="preserve"> is the process of determ</w:t>
      </w:r>
      <w:r w:rsidRPr="00211A50" w:rsidR="00300323">
        <w:rPr>
          <w:rFonts w:ascii="Arial" w:hAnsi="Arial" w:cs="Arial"/>
          <w:sz w:val="22"/>
          <w:szCs w:val="22"/>
        </w:rPr>
        <w:t>ining the range of random error</w:t>
      </w:r>
      <w:r w:rsidRPr="00211A50" w:rsidR="002356F2">
        <w:rPr>
          <w:rFonts w:ascii="Arial" w:hAnsi="Arial" w:cs="Arial"/>
          <w:sz w:val="22"/>
          <w:szCs w:val="22"/>
        </w:rPr>
        <w:t xml:space="preserve">.  The precision is measured in terms of coefficient of variation </w:t>
      </w:r>
      <w:r w:rsidRPr="00211A50" w:rsidR="00300323">
        <w:rPr>
          <w:rFonts w:ascii="Arial" w:hAnsi="Arial" w:cs="Arial"/>
          <w:sz w:val="22"/>
          <w:szCs w:val="22"/>
        </w:rPr>
        <w:t>(CV)</w:t>
      </w:r>
      <w:r w:rsidRPr="00211A50" w:rsidR="002356F2">
        <w:rPr>
          <w:rFonts w:ascii="Arial" w:hAnsi="Arial" w:cs="Arial"/>
          <w:sz w:val="22"/>
          <w:szCs w:val="22"/>
        </w:rPr>
        <w:t xml:space="preserve">.  </w:t>
      </w:r>
      <w:r w:rsidR="00FD5457">
        <w:rPr>
          <w:rFonts w:ascii="Arial" w:hAnsi="Arial" w:cs="Arial"/>
          <w:sz w:val="22"/>
          <w:szCs w:val="22"/>
        </w:rPr>
        <w:t>P</w:t>
      </w:r>
      <w:r w:rsidRPr="00FD5457">
        <w:rPr>
          <w:rFonts w:ascii="Arial" w:hAnsi="Arial" w:cs="Arial"/>
          <w:sz w:val="22"/>
          <w:szCs w:val="22"/>
        </w:rPr>
        <w:t xml:space="preserve">recision will be </w:t>
      </w:r>
      <w:r w:rsidR="00FD5457">
        <w:rPr>
          <w:rFonts w:ascii="Arial" w:hAnsi="Arial" w:cs="Arial"/>
          <w:sz w:val="22"/>
          <w:szCs w:val="22"/>
        </w:rPr>
        <w:t>tested</w:t>
      </w:r>
      <w:r w:rsidRPr="00FD5457">
        <w:rPr>
          <w:rFonts w:ascii="Arial" w:hAnsi="Arial" w:cs="Arial"/>
          <w:sz w:val="22"/>
          <w:szCs w:val="22"/>
        </w:rPr>
        <w:t xml:space="preserve"> only on measured analytes, and not calculated analytes. </w:t>
      </w:r>
    </w:p>
    <w:bookmarkEnd w:id="4"/>
    <w:p w:rsidR="00FB1C7E" w:rsidP="00211A50" w14:paraId="17CCEB2B" w14:textId="77777777">
      <w:pPr>
        <w:numPr>
          <w:ilvl w:val="0"/>
          <w:numId w:val="6"/>
        </w:numPr>
        <w:spacing w:line="276" w:lineRule="auto"/>
        <w:rPr>
          <w:rFonts w:ascii="Arial" w:hAnsi="Arial" w:cs="Arial"/>
          <w:sz w:val="22"/>
          <w:szCs w:val="22"/>
        </w:rPr>
      </w:pPr>
      <w:r>
        <w:rPr>
          <w:rFonts w:ascii="Arial" w:hAnsi="Arial" w:cs="Arial"/>
          <w:sz w:val="22"/>
          <w:szCs w:val="22"/>
        </w:rPr>
        <w:t xml:space="preserve">Short-term (within-run) and long-term (between-day) </w:t>
      </w:r>
      <w:r w:rsidRPr="00D77049">
        <w:rPr>
          <w:rFonts w:ascii="Arial" w:hAnsi="Arial" w:cs="Arial"/>
          <w:sz w:val="22"/>
          <w:szCs w:val="22"/>
        </w:rPr>
        <w:t xml:space="preserve">precision will be determined by running the </w:t>
      </w:r>
      <w:r>
        <w:rPr>
          <w:rFonts w:ascii="Arial" w:hAnsi="Arial" w:cs="Arial"/>
          <w:sz w:val="22"/>
          <w:szCs w:val="22"/>
        </w:rPr>
        <w:t>normal</w:t>
      </w:r>
      <w:r w:rsidRPr="00D77049">
        <w:rPr>
          <w:rFonts w:ascii="Arial" w:hAnsi="Arial" w:cs="Arial"/>
          <w:sz w:val="22"/>
          <w:szCs w:val="22"/>
        </w:rPr>
        <w:t xml:space="preserve"> </w:t>
      </w:r>
      <w:r>
        <w:rPr>
          <w:rFonts w:ascii="Arial" w:hAnsi="Arial" w:cs="Arial"/>
          <w:sz w:val="22"/>
          <w:szCs w:val="22"/>
        </w:rPr>
        <w:t xml:space="preserve">and abnormal controls </w:t>
      </w:r>
      <w:r w:rsidRPr="00D77049">
        <w:rPr>
          <w:rFonts w:ascii="Arial" w:hAnsi="Arial" w:cs="Arial"/>
          <w:sz w:val="22"/>
          <w:szCs w:val="22"/>
        </w:rPr>
        <w:t>as follows:</w:t>
      </w:r>
    </w:p>
    <w:p w:rsidR="00FB1E3D" w:rsidP="00FB1C7E" w14:paraId="2B669FD2" w14:textId="77777777">
      <w:pPr>
        <w:numPr>
          <w:ilvl w:val="1"/>
          <w:numId w:val="6"/>
        </w:numPr>
        <w:spacing w:line="276" w:lineRule="auto"/>
        <w:rPr>
          <w:rFonts w:ascii="Arial" w:hAnsi="Arial" w:cs="Arial"/>
          <w:sz w:val="22"/>
          <w:szCs w:val="22"/>
        </w:rPr>
      </w:pPr>
      <w:r>
        <w:rPr>
          <w:rFonts w:ascii="Arial" w:hAnsi="Arial" w:cs="Arial"/>
          <w:sz w:val="22"/>
          <w:szCs w:val="22"/>
        </w:rPr>
        <w:t>S</w:t>
      </w:r>
      <w:r w:rsidR="00D532BD">
        <w:rPr>
          <w:rFonts w:ascii="Arial" w:hAnsi="Arial" w:cs="Arial"/>
          <w:sz w:val="22"/>
          <w:szCs w:val="22"/>
        </w:rPr>
        <w:t>hort-</w:t>
      </w:r>
      <w:r>
        <w:rPr>
          <w:rFonts w:ascii="Arial" w:hAnsi="Arial" w:cs="Arial"/>
          <w:sz w:val="22"/>
          <w:szCs w:val="22"/>
        </w:rPr>
        <w:t>t</w:t>
      </w:r>
      <w:r w:rsidR="00D532BD">
        <w:rPr>
          <w:rFonts w:ascii="Arial" w:hAnsi="Arial" w:cs="Arial"/>
          <w:sz w:val="22"/>
          <w:szCs w:val="22"/>
        </w:rPr>
        <w:t>erm</w:t>
      </w:r>
      <w:r w:rsidRPr="00211A50" w:rsidR="00ED2997">
        <w:rPr>
          <w:rFonts w:ascii="Arial" w:hAnsi="Arial" w:cs="Arial"/>
          <w:sz w:val="22"/>
          <w:szCs w:val="22"/>
        </w:rPr>
        <w:t xml:space="preserve"> will be tested by running each </w:t>
      </w:r>
      <w:r>
        <w:rPr>
          <w:rFonts w:ascii="Arial" w:hAnsi="Arial" w:cs="Arial"/>
          <w:sz w:val="22"/>
          <w:szCs w:val="22"/>
        </w:rPr>
        <w:t>control</w:t>
      </w:r>
      <w:r w:rsidRPr="00211A50" w:rsidR="00ED2997">
        <w:rPr>
          <w:rFonts w:ascii="Arial" w:hAnsi="Arial" w:cs="Arial"/>
          <w:sz w:val="22"/>
          <w:szCs w:val="22"/>
        </w:rPr>
        <w:t xml:space="preserve"> 20 times in one day.  </w:t>
      </w:r>
    </w:p>
    <w:p w:rsidR="00FB1E3D" w:rsidP="00FB1C7E" w14:paraId="1B0E14E8" w14:textId="77777777">
      <w:pPr>
        <w:numPr>
          <w:ilvl w:val="1"/>
          <w:numId w:val="6"/>
        </w:numPr>
        <w:spacing w:line="276" w:lineRule="auto"/>
        <w:rPr>
          <w:rFonts w:ascii="Arial" w:hAnsi="Arial" w:cs="Arial"/>
          <w:sz w:val="22"/>
          <w:szCs w:val="22"/>
        </w:rPr>
      </w:pPr>
      <w:r>
        <w:rPr>
          <w:rFonts w:ascii="Arial" w:hAnsi="Arial" w:cs="Arial"/>
          <w:sz w:val="22"/>
          <w:szCs w:val="22"/>
        </w:rPr>
        <w:t>Long-Term</w:t>
      </w:r>
      <w:r w:rsidRPr="00211A50" w:rsidR="007C4EAA">
        <w:rPr>
          <w:rFonts w:ascii="Arial" w:hAnsi="Arial" w:cs="Arial"/>
          <w:sz w:val="22"/>
          <w:szCs w:val="22"/>
        </w:rPr>
        <w:t xml:space="preserve"> w</w:t>
      </w:r>
      <w:r w:rsidRPr="00211A50" w:rsidR="00547A1C">
        <w:rPr>
          <w:rFonts w:ascii="Arial" w:hAnsi="Arial" w:cs="Arial"/>
          <w:sz w:val="22"/>
          <w:szCs w:val="22"/>
        </w:rPr>
        <w:t>ill be tested</w:t>
      </w:r>
      <w:r w:rsidRPr="00211A50" w:rsidR="00506690">
        <w:rPr>
          <w:rFonts w:ascii="Arial" w:hAnsi="Arial" w:cs="Arial"/>
          <w:sz w:val="22"/>
          <w:szCs w:val="22"/>
        </w:rPr>
        <w:t xml:space="preserve"> by running </w:t>
      </w:r>
      <w:r w:rsidRPr="00211A50" w:rsidR="00A520AD">
        <w:rPr>
          <w:rFonts w:ascii="Arial" w:hAnsi="Arial" w:cs="Arial"/>
          <w:sz w:val="22"/>
          <w:szCs w:val="22"/>
        </w:rPr>
        <w:t>each</w:t>
      </w:r>
      <w:r w:rsidRPr="00211A50" w:rsidR="009576E2">
        <w:rPr>
          <w:rFonts w:ascii="Arial" w:hAnsi="Arial" w:cs="Arial"/>
          <w:sz w:val="22"/>
          <w:szCs w:val="22"/>
        </w:rPr>
        <w:t xml:space="preserve"> </w:t>
      </w:r>
      <w:r>
        <w:rPr>
          <w:rFonts w:ascii="Arial" w:hAnsi="Arial" w:cs="Arial"/>
          <w:sz w:val="22"/>
          <w:szCs w:val="22"/>
        </w:rPr>
        <w:t>control</w:t>
      </w:r>
      <w:r w:rsidRPr="00211A50" w:rsidR="009576E2">
        <w:rPr>
          <w:rFonts w:ascii="Arial" w:hAnsi="Arial" w:cs="Arial"/>
          <w:sz w:val="22"/>
          <w:szCs w:val="22"/>
        </w:rPr>
        <w:t xml:space="preserve"> </w:t>
      </w:r>
      <w:r w:rsidRPr="00211A50" w:rsidR="00371005">
        <w:rPr>
          <w:rFonts w:ascii="Arial" w:hAnsi="Arial" w:cs="Arial"/>
          <w:color w:val="4472C4"/>
          <w:sz w:val="22"/>
          <w:szCs w:val="22"/>
        </w:rPr>
        <w:t>(insert how you wil</w:t>
      </w:r>
      <w:r w:rsidR="00514900">
        <w:rPr>
          <w:rFonts w:ascii="Arial" w:hAnsi="Arial" w:cs="Arial"/>
          <w:color w:val="4472C4"/>
          <w:sz w:val="22"/>
          <w:szCs w:val="22"/>
        </w:rPr>
        <w:t xml:space="preserve">l be running theses samples ex. </w:t>
      </w:r>
      <w:r w:rsidRPr="00211A50" w:rsidR="00371005">
        <w:rPr>
          <w:rFonts w:ascii="Arial" w:hAnsi="Arial" w:cs="Arial"/>
          <w:color w:val="4472C4"/>
          <w:sz w:val="22"/>
          <w:szCs w:val="22"/>
        </w:rPr>
        <w:t>once per day for 20 days or 4 samples per day for 5 days)</w:t>
      </w:r>
      <w:r w:rsidRPr="00211A50" w:rsidR="00371005">
        <w:rPr>
          <w:rFonts w:ascii="Arial" w:hAnsi="Arial" w:cs="Arial"/>
          <w:sz w:val="22"/>
          <w:szCs w:val="22"/>
        </w:rPr>
        <w:t xml:space="preserve">. </w:t>
      </w:r>
    </w:p>
    <w:p w:rsidR="00300323" w:rsidRPr="00211A50" w:rsidP="00FB1E3D" w14:paraId="0644C50D" w14:textId="77777777">
      <w:pPr>
        <w:numPr>
          <w:ilvl w:val="0"/>
          <w:numId w:val="6"/>
        </w:numPr>
        <w:spacing w:line="276" w:lineRule="auto"/>
        <w:rPr>
          <w:rFonts w:ascii="Arial" w:hAnsi="Arial" w:cs="Arial"/>
          <w:sz w:val="22"/>
          <w:szCs w:val="22"/>
        </w:rPr>
      </w:pPr>
      <w:r w:rsidRPr="00211A50">
        <w:rPr>
          <w:rFonts w:ascii="Arial" w:hAnsi="Arial" w:cs="Arial"/>
          <w:sz w:val="22"/>
          <w:szCs w:val="22"/>
        </w:rPr>
        <w:t>The mean, standar</w:t>
      </w:r>
      <w:r w:rsidRPr="00211A50" w:rsidR="00371005">
        <w:rPr>
          <w:rFonts w:ascii="Arial" w:hAnsi="Arial" w:cs="Arial"/>
          <w:sz w:val="22"/>
          <w:szCs w:val="22"/>
        </w:rPr>
        <w:t xml:space="preserve">d deviation (SD) and CV will be </w:t>
      </w:r>
      <w:r w:rsidRPr="00211A50">
        <w:rPr>
          <w:rFonts w:ascii="Arial" w:hAnsi="Arial" w:cs="Arial"/>
          <w:sz w:val="22"/>
          <w:szCs w:val="22"/>
        </w:rPr>
        <w:t>calculated</w:t>
      </w:r>
      <w:r w:rsidRPr="00211A50" w:rsidR="00371005">
        <w:rPr>
          <w:rFonts w:ascii="Arial" w:hAnsi="Arial" w:cs="Arial"/>
          <w:sz w:val="22"/>
          <w:szCs w:val="22"/>
        </w:rPr>
        <w:t xml:space="preserve"> using </w:t>
      </w:r>
      <w:r w:rsidRPr="00211A50" w:rsidR="00547A1C">
        <w:rPr>
          <w:rFonts w:ascii="Arial" w:hAnsi="Arial" w:cs="Arial"/>
          <w:sz w:val="22"/>
          <w:szCs w:val="22"/>
        </w:rPr>
        <w:t>the replicates</w:t>
      </w:r>
      <w:r w:rsidRPr="00211A50">
        <w:rPr>
          <w:rFonts w:ascii="Arial" w:hAnsi="Arial" w:cs="Arial"/>
          <w:sz w:val="22"/>
          <w:szCs w:val="22"/>
        </w:rPr>
        <w:t>.</w:t>
      </w:r>
    </w:p>
    <w:p w:rsidR="00C64644" w:rsidRPr="00211A50" w:rsidP="00211A50" w14:paraId="1748431D" w14:textId="253402F2">
      <w:pPr>
        <w:numPr>
          <w:ilvl w:val="0"/>
          <w:numId w:val="6"/>
        </w:numPr>
        <w:spacing w:line="276" w:lineRule="auto"/>
        <w:rPr>
          <w:rFonts w:ascii="Arial" w:hAnsi="Arial" w:cs="Arial"/>
          <w:sz w:val="22"/>
          <w:szCs w:val="22"/>
        </w:rPr>
      </w:pPr>
      <w:r w:rsidRPr="00211A50">
        <w:rPr>
          <w:rFonts w:ascii="Arial" w:hAnsi="Arial" w:cs="Arial"/>
          <w:sz w:val="22"/>
          <w:szCs w:val="22"/>
        </w:rPr>
        <w:t>Acceptability criteria</w:t>
      </w:r>
      <w:r w:rsidRPr="00211A50" w:rsidR="00E210A7">
        <w:rPr>
          <w:rFonts w:ascii="Arial" w:hAnsi="Arial" w:cs="Arial"/>
          <w:sz w:val="22"/>
          <w:szCs w:val="22"/>
        </w:rPr>
        <w:t xml:space="preserve">: </w:t>
      </w:r>
      <w:r w:rsidRPr="00211A50" w:rsidR="00300323">
        <w:rPr>
          <w:rFonts w:ascii="Arial" w:hAnsi="Arial" w:cs="Arial"/>
          <w:sz w:val="22"/>
          <w:szCs w:val="22"/>
        </w:rPr>
        <w:t>The CV</w:t>
      </w:r>
      <w:r w:rsidR="00211A50">
        <w:rPr>
          <w:rFonts w:ascii="Arial" w:hAnsi="Arial" w:cs="Arial"/>
          <w:sz w:val="22"/>
          <w:szCs w:val="22"/>
        </w:rPr>
        <w:t>%</w:t>
      </w:r>
      <w:r w:rsidRPr="00211A50" w:rsidR="00300323">
        <w:rPr>
          <w:rFonts w:ascii="Arial" w:hAnsi="Arial" w:cs="Arial"/>
          <w:sz w:val="22"/>
          <w:szCs w:val="22"/>
        </w:rPr>
        <w:t xml:space="preserve"> for </w:t>
      </w:r>
      <w:r w:rsidRPr="00211A50" w:rsidR="00EA4F80">
        <w:rPr>
          <w:rFonts w:ascii="Arial" w:hAnsi="Arial" w:cs="Arial"/>
          <w:sz w:val="22"/>
          <w:szCs w:val="22"/>
        </w:rPr>
        <w:t>e</w:t>
      </w:r>
      <w:r w:rsidRPr="00211A50" w:rsidR="00E210A7">
        <w:rPr>
          <w:rFonts w:ascii="Arial" w:hAnsi="Arial" w:cs="Arial"/>
          <w:sz w:val="22"/>
          <w:szCs w:val="22"/>
        </w:rPr>
        <w:t xml:space="preserve">ach assay is expected to </w:t>
      </w:r>
      <w:r w:rsidRPr="00211A50" w:rsidR="00EA4F80">
        <w:rPr>
          <w:rFonts w:ascii="Arial" w:hAnsi="Arial" w:cs="Arial"/>
          <w:sz w:val="22"/>
          <w:szCs w:val="22"/>
        </w:rPr>
        <w:t xml:space="preserve">be </w:t>
      </w:r>
      <w:r w:rsidRPr="00211A50" w:rsidR="00E210A7">
        <w:rPr>
          <w:rFonts w:ascii="Arial" w:hAnsi="Arial" w:cs="Arial"/>
          <w:sz w:val="22"/>
          <w:szCs w:val="22"/>
        </w:rPr>
        <w:t xml:space="preserve">equal </w:t>
      </w:r>
      <w:r w:rsidRPr="00211A50" w:rsidR="004D74A4">
        <w:rPr>
          <w:rFonts w:ascii="Arial" w:hAnsi="Arial" w:cs="Arial"/>
          <w:sz w:val="22"/>
          <w:szCs w:val="22"/>
        </w:rPr>
        <w:t xml:space="preserve">to </w:t>
      </w:r>
      <w:r w:rsidRPr="00211A50" w:rsidR="00E210A7">
        <w:rPr>
          <w:rFonts w:ascii="Arial" w:hAnsi="Arial" w:cs="Arial"/>
          <w:sz w:val="22"/>
          <w:szCs w:val="22"/>
        </w:rPr>
        <w:t>or less than the manufacturer’</w:t>
      </w:r>
      <w:r w:rsidRPr="00211A50" w:rsidR="004D74A4">
        <w:rPr>
          <w:rFonts w:ascii="Arial" w:hAnsi="Arial" w:cs="Arial"/>
          <w:sz w:val="22"/>
          <w:szCs w:val="22"/>
        </w:rPr>
        <w:t>s performance specifications</w:t>
      </w:r>
      <w:r w:rsidRPr="00211A50" w:rsidR="00547A1C">
        <w:rPr>
          <w:rFonts w:ascii="Arial" w:hAnsi="Arial" w:cs="Arial"/>
          <w:sz w:val="22"/>
          <w:szCs w:val="22"/>
        </w:rPr>
        <w:t xml:space="preserve"> for precision</w:t>
      </w:r>
      <w:r w:rsidRPr="00211A50" w:rsidR="004D74A4">
        <w:rPr>
          <w:rFonts w:ascii="Arial" w:hAnsi="Arial" w:cs="Arial"/>
          <w:sz w:val="22"/>
          <w:szCs w:val="22"/>
        </w:rPr>
        <w:t xml:space="preserve">. In the event that an assay does not perform as expected, the </w:t>
      </w:r>
      <w:r w:rsidRPr="00211A50" w:rsidR="00EA4F80">
        <w:rPr>
          <w:rFonts w:ascii="Arial" w:hAnsi="Arial" w:cs="Arial"/>
          <w:sz w:val="22"/>
          <w:szCs w:val="22"/>
        </w:rPr>
        <w:t xml:space="preserve">CV </w:t>
      </w:r>
      <w:r w:rsidRPr="00211A50" w:rsidR="004D74A4">
        <w:rPr>
          <w:rFonts w:ascii="Arial" w:hAnsi="Arial" w:cs="Arial"/>
          <w:sz w:val="22"/>
          <w:szCs w:val="22"/>
        </w:rPr>
        <w:t xml:space="preserve">will be </w:t>
      </w:r>
      <w:r w:rsidRPr="00211A50" w:rsidR="00300323">
        <w:rPr>
          <w:rFonts w:ascii="Arial" w:hAnsi="Arial" w:cs="Arial"/>
          <w:sz w:val="22"/>
          <w:szCs w:val="22"/>
        </w:rPr>
        <w:t>compared to the allowable random error</w:t>
      </w:r>
      <w:r w:rsidRPr="00211A50" w:rsidR="00A520AD">
        <w:rPr>
          <w:rFonts w:ascii="Arial" w:hAnsi="Arial" w:cs="Arial"/>
          <w:sz w:val="22"/>
          <w:szCs w:val="22"/>
        </w:rPr>
        <w:t xml:space="preserve"> (33</w:t>
      </w:r>
      <w:r w:rsidRPr="00211A50" w:rsidR="00300323">
        <w:rPr>
          <w:rFonts w:ascii="Arial" w:hAnsi="Arial" w:cs="Arial"/>
          <w:sz w:val="22"/>
          <w:szCs w:val="22"/>
        </w:rPr>
        <w:t xml:space="preserve">% of </w:t>
      </w:r>
      <w:r w:rsidRPr="00211A50" w:rsidR="00211A50">
        <w:rPr>
          <w:rFonts w:ascii="Arial" w:hAnsi="Arial" w:cs="Arial"/>
          <w:sz w:val="22"/>
          <w:szCs w:val="22"/>
        </w:rPr>
        <w:t>p</w:t>
      </w:r>
      <w:r w:rsidRPr="00211A50" w:rsidR="00300323">
        <w:rPr>
          <w:rFonts w:ascii="Arial" w:hAnsi="Arial" w:cs="Arial"/>
          <w:sz w:val="22"/>
          <w:szCs w:val="22"/>
        </w:rPr>
        <w:t>SMILE</w:t>
      </w:r>
      <w:r w:rsidRPr="00211A50" w:rsidR="00300323">
        <w:rPr>
          <w:rFonts w:ascii="Arial" w:hAnsi="Arial" w:cs="Arial"/>
          <w:color w:val="FF0000"/>
          <w:sz w:val="22"/>
          <w:szCs w:val="22"/>
        </w:rPr>
        <w:t xml:space="preserve"> </w:t>
      </w:r>
      <w:r w:rsidRPr="00211A50" w:rsidR="00300323">
        <w:rPr>
          <w:rFonts w:ascii="Arial" w:hAnsi="Arial" w:cs="Arial"/>
          <w:sz w:val="22"/>
          <w:szCs w:val="22"/>
        </w:rPr>
        <w:t>T</w:t>
      </w:r>
      <w:r w:rsidRPr="00211A50" w:rsidR="00547A1C">
        <w:rPr>
          <w:rFonts w:ascii="Arial" w:hAnsi="Arial" w:cs="Arial"/>
          <w:sz w:val="22"/>
          <w:szCs w:val="22"/>
        </w:rPr>
        <w:t xml:space="preserve">otal Allowable </w:t>
      </w:r>
      <w:r w:rsidRPr="00211A50" w:rsidR="00300323">
        <w:rPr>
          <w:rFonts w:ascii="Arial" w:hAnsi="Arial" w:cs="Arial"/>
          <w:sz w:val="22"/>
          <w:szCs w:val="22"/>
        </w:rPr>
        <w:t>E</w:t>
      </w:r>
      <w:r w:rsidRPr="00211A50" w:rsidR="00547A1C">
        <w:rPr>
          <w:rFonts w:ascii="Arial" w:hAnsi="Arial" w:cs="Arial"/>
          <w:sz w:val="22"/>
          <w:szCs w:val="22"/>
        </w:rPr>
        <w:t>rror</w:t>
      </w:r>
      <w:r w:rsidRPr="00211A50" w:rsidR="00300323">
        <w:rPr>
          <w:rFonts w:ascii="Arial" w:hAnsi="Arial" w:cs="Arial"/>
          <w:sz w:val="22"/>
          <w:szCs w:val="22"/>
        </w:rPr>
        <w:t xml:space="preserve"> Limits </w:t>
      </w:r>
      <w:r w:rsidRPr="00211A50" w:rsidR="00A520AD">
        <w:rPr>
          <w:rFonts w:ascii="Arial" w:hAnsi="Arial" w:cs="Arial"/>
          <w:sz w:val="22"/>
          <w:szCs w:val="22"/>
        </w:rPr>
        <w:t xml:space="preserve">for </w:t>
      </w:r>
      <w:r w:rsidR="00FB1E3D">
        <w:rPr>
          <w:rFonts w:ascii="Arial" w:hAnsi="Arial" w:cs="Arial"/>
          <w:sz w:val="22"/>
          <w:szCs w:val="22"/>
        </w:rPr>
        <w:t xml:space="preserve">long-term </w:t>
      </w:r>
      <w:r w:rsidRPr="00211A50" w:rsidR="00A520AD">
        <w:rPr>
          <w:rFonts w:ascii="Arial" w:hAnsi="Arial" w:cs="Arial"/>
          <w:sz w:val="22"/>
          <w:szCs w:val="22"/>
        </w:rPr>
        <w:t xml:space="preserve">and 25% of </w:t>
      </w:r>
      <w:r w:rsidR="00211A50">
        <w:rPr>
          <w:rFonts w:ascii="Arial" w:hAnsi="Arial" w:cs="Arial"/>
          <w:sz w:val="22"/>
          <w:szCs w:val="22"/>
        </w:rPr>
        <w:t>p</w:t>
      </w:r>
      <w:r w:rsidRPr="00211A50" w:rsidR="00547A1C">
        <w:rPr>
          <w:rFonts w:ascii="Arial" w:hAnsi="Arial" w:cs="Arial"/>
          <w:sz w:val="22"/>
          <w:szCs w:val="22"/>
        </w:rPr>
        <w:t>SMILE</w:t>
      </w:r>
      <w:r w:rsidRPr="00211A50" w:rsidR="00547A1C">
        <w:rPr>
          <w:rFonts w:ascii="Arial" w:hAnsi="Arial" w:cs="Arial"/>
          <w:color w:val="FF0000"/>
          <w:sz w:val="22"/>
          <w:szCs w:val="22"/>
        </w:rPr>
        <w:t xml:space="preserve"> </w:t>
      </w:r>
      <w:r w:rsidRPr="00211A50" w:rsidR="00547A1C">
        <w:rPr>
          <w:rFonts w:ascii="Arial" w:hAnsi="Arial" w:cs="Arial"/>
          <w:sz w:val="22"/>
          <w:szCs w:val="22"/>
        </w:rPr>
        <w:t xml:space="preserve">Total Allowable Error Limits for </w:t>
      </w:r>
      <w:r w:rsidR="00FB1E3D">
        <w:rPr>
          <w:rFonts w:ascii="Arial" w:hAnsi="Arial" w:cs="Arial"/>
          <w:sz w:val="22"/>
          <w:szCs w:val="22"/>
        </w:rPr>
        <w:t>short-term</w:t>
      </w:r>
      <w:r w:rsidRPr="00211A50" w:rsidR="00547A1C">
        <w:rPr>
          <w:rFonts w:ascii="Arial" w:hAnsi="Arial" w:cs="Arial"/>
          <w:sz w:val="22"/>
          <w:szCs w:val="22"/>
        </w:rPr>
        <w:t>)</w:t>
      </w:r>
      <w:r w:rsidRPr="00211A50" w:rsidR="004D74A4">
        <w:rPr>
          <w:rFonts w:ascii="Arial" w:hAnsi="Arial" w:cs="Arial"/>
          <w:sz w:val="22"/>
          <w:szCs w:val="22"/>
        </w:rPr>
        <w:t xml:space="preserve">. </w:t>
      </w:r>
      <w:r w:rsidRPr="00211A50" w:rsidR="00300323">
        <w:rPr>
          <w:rFonts w:ascii="Arial" w:hAnsi="Arial" w:cs="Arial"/>
          <w:sz w:val="22"/>
          <w:szCs w:val="22"/>
        </w:rPr>
        <w:t xml:space="preserve">Refer to </w:t>
      </w:r>
      <w:r w:rsidR="00211A50">
        <w:rPr>
          <w:rFonts w:ascii="Arial" w:hAnsi="Arial" w:cs="Arial"/>
          <w:sz w:val="22"/>
          <w:szCs w:val="22"/>
        </w:rPr>
        <w:t>p</w:t>
      </w:r>
      <w:r w:rsidRPr="00211A50" w:rsidR="00300323">
        <w:rPr>
          <w:rFonts w:ascii="Arial" w:hAnsi="Arial" w:cs="Arial"/>
          <w:sz w:val="22"/>
          <w:szCs w:val="22"/>
        </w:rPr>
        <w:t>SMILE</w:t>
      </w:r>
      <w:r w:rsidRPr="00211A50" w:rsidR="00300323">
        <w:rPr>
          <w:rFonts w:ascii="Arial" w:hAnsi="Arial" w:cs="Arial"/>
          <w:color w:val="FF0000"/>
          <w:sz w:val="22"/>
          <w:szCs w:val="22"/>
        </w:rPr>
        <w:t xml:space="preserve"> </w:t>
      </w:r>
      <w:r w:rsidRPr="00211A50" w:rsidR="00300323">
        <w:rPr>
          <w:rFonts w:ascii="Arial" w:hAnsi="Arial" w:cs="Arial"/>
          <w:sz w:val="22"/>
          <w:szCs w:val="22"/>
        </w:rPr>
        <w:t>TE</w:t>
      </w:r>
      <w:r w:rsidR="00211A50">
        <w:rPr>
          <w:rFonts w:ascii="Arial" w:hAnsi="Arial" w:cs="Arial"/>
          <w:sz w:val="22"/>
          <w:szCs w:val="22"/>
        </w:rPr>
        <w:t>a</w:t>
      </w:r>
      <w:r w:rsidRPr="00211A50" w:rsidR="00300323">
        <w:rPr>
          <w:rFonts w:ascii="Arial" w:hAnsi="Arial" w:cs="Arial"/>
          <w:sz w:val="22"/>
          <w:szCs w:val="22"/>
        </w:rPr>
        <w:t xml:space="preserve"> Limits table</w:t>
      </w:r>
      <w:r w:rsidR="00211A50">
        <w:rPr>
          <w:rFonts w:ascii="Arial" w:hAnsi="Arial" w:cs="Arial"/>
          <w:sz w:val="22"/>
          <w:szCs w:val="22"/>
        </w:rPr>
        <w:t>s</w:t>
      </w:r>
      <w:r w:rsidRPr="00211A50" w:rsidR="00300323">
        <w:rPr>
          <w:rFonts w:ascii="Arial" w:hAnsi="Arial" w:cs="Arial"/>
          <w:sz w:val="22"/>
          <w:szCs w:val="22"/>
        </w:rPr>
        <w:t>.</w:t>
      </w:r>
    </w:p>
    <w:p w:rsidR="00ED2997" w:rsidRPr="00211A50" w:rsidP="00211A50" w14:paraId="4A437CA3" w14:textId="77777777">
      <w:pPr>
        <w:numPr>
          <w:ilvl w:val="0"/>
          <w:numId w:val="6"/>
        </w:numPr>
        <w:spacing w:after="240" w:line="276" w:lineRule="auto"/>
        <w:rPr>
          <w:rFonts w:ascii="Arial" w:hAnsi="Arial" w:cs="Arial"/>
          <w:color w:val="4472C4"/>
          <w:sz w:val="22"/>
          <w:szCs w:val="22"/>
        </w:rPr>
      </w:pPr>
      <w:r w:rsidRPr="00211A50">
        <w:rPr>
          <w:rFonts w:ascii="Arial" w:hAnsi="Arial" w:cs="Arial"/>
          <w:sz w:val="22"/>
          <w:szCs w:val="22"/>
        </w:rPr>
        <w:t>The manufacturer’s claims for precision testing and TEa limits for each analyte are listed below</w:t>
      </w:r>
    </w:p>
    <w:tbl>
      <w:tblPr>
        <w:tblW w:w="6835" w:type="dxa"/>
        <w:tblInd w:w="2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5"/>
        <w:gridCol w:w="2491"/>
        <w:gridCol w:w="2279"/>
      </w:tblGrid>
      <w:tr w14:paraId="2524F7D7" w14:textId="77777777" w:rsidTr="007A0C1B">
        <w:tblPrEx>
          <w:tblW w:w="6835" w:type="dxa"/>
          <w:tblInd w:w="2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32"/>
        </w:trPr>
        <w:tc>
          <w:tcPr>
            <w:tcW w:w="6835" w:type="dxa"/>
            <w:gridSpan w:val="3"/>
            <w:shd w:val="clear" w:color="auto" w:fill="E7E6E6" w:themeFill="background2"/>
            <w:vAlign w:val="center"/>
          </w:tcPr>
          <w:p w:rsidR="007A0C1B" w:rsidRPr="00211A50" w:rsidP="007A0C1B" w14:paraId="1A114F89" w14:textId="77777777">
            <w:pPr>
              <w:spacing w:line="276" w:lineRule="auto"/>
              <w:jc w:val="center"/>
              <w:rPr>
                <w:rFonts w:ascii="Arial" w:hAnsi="Arial" w:cs="Arial"/>
                <w:sz w:val="22"/>
                <w:szCs w:val="22"/>
              </w:rPr>
            </w:pPr>
            <w:r>
              <w:rPr>
                <w:rFonts w:ascii="Arial" w:hAnsi="Arial" w:cs="Arial"/>
                <w:sz w:val="22"/>
                <w:szCs w:val="22"/>
              </w:rPr>
              <w:t>Short-Term</w:t>
            </w:r>
          </w:p>
        </w:tc>
      </w:tr>
      <w:tr w14:paraId="6F21D85C" w14:textId="77777777" w:rsidTr="007A0C1B">
        <w:tblPrEx>
          <w:tblW w:w="6835" w:type="dxa"/>
          <w:tblInd w:w="2047" w:type="dxa"/>
          <w:tblLook w:val="04A0"/>
        </w:tblPrEx>
        <w:trPr>
          <w:trHeight w:val="432"/>
        </w:trPr>
        <w:tc>
          <w:tcPr>
            <w:tcW w:w="2065" w:type="dxa"/>
            <w:vAlign w:val="center"/>
          </w:tcPr>
          <w:p w:rsidR="007A0C1B" w:rsidRPr="00211A50" w:rsidP="007A0C1B" w14:paraId="1644A802" w14:textId="77777777">
            <w:pPr>
              <w:spacing w:line="276" w:lineRule="auto"/>
              <w:jc w:val="center"/>
              <w:rPr>
                <w:rFonts w:ascii="Arial" w:hAnsi="Arial" w:cs="Arial"/>
                <w:sz w:val="22"/>
                <w:szCs w:val="22"/>
              </w:rPr>
            </w:pPr>
            <w:r w:rsidRPr="00211A50">
              <w:rPr>
                <w:rFonts w:ascii="Arial" w:hAnsi="Arial" w:cs="Arial"/>
                <w:sz w:val="22"/>
                <w:szCs w:val="22"/>
              </w:rPr>
              <w:t>Analyte</w:t>
            </w:r>
          </w:p>
        </w:tc>
        <w:tc>
          <w:tcPr>
            <w:tcW w:w="2491" w:type="dxa"/>
            <w:vAlign w:val="center"/>
          </w:tcPr>
          <w:p w:rsidR="007A0C1B" w:rsidRPr="00211A50" w:rsidP="007A0C1B" w14:paraId="62EE1157" w14:textId="77777777">
            <w:pPr>
              <w:spacing w:line="276" w:lineRule="auto"/>
              <w:jc w:val="center"/>
              <w:rPr>
                <w:rFonts w:ascii="Arial" w:hAnsi="Arial" w:cs="Arial"/>
                <w:sz w:val="22"/>
                <w:szCs w:val="22"/>
              </w:rPr>
            </w:pPr>
            <w:r w:rsidRPr="00211A50">
              <w:rPr>
                <w:rFonts w:ascii="Arial" w:hAnsi="Arial" w:cs="Arial"/>
                <w:sz w:val="22"/>
                <w:szCs w:val="22"/>
              </w:rPr>
              <w:t>Mfg Precision</w:t>
            </w:r>
          </w:p>
        </w:tc>
        <w:tc>
          <w:tcPr>
            <w:tcW w:w="2279" w:type="dxa"/>
            <w:vAlign w:val="center"/>
          </w:tcPr>
          <w:p w:rsidR="007A0C1B" w:rsidRPr="00211A50" w:rsidP="007A0C1B" w14:paraId="621C34C8" w14:textId="77777777">
            <w:pPr>
              <w:spacing w:line="276" w:lineRule="auto"/>
              <w:jc w:val="center"/>
              <w:rPr>
                <w:rFonts w:ascii="Arial" w:hAnsi="Arial" w:cs="Arial"/>
                <w:sz w:val="22"/>
                <w:szCs w:val="22"/>
              </w:rPr>
            </w:pPr>
            <w:r>
              <w:rPr>
                <w:rFonts w:ascii="Arial" w:hAnsi="Arial" w:cs="Arial"/>
                <w:sz w:val="22"/>
                <w:szCs w:val="22"/>
              </w:rPr>
              <w:t>25</w:t>
            </w:r>
            <w:r w:rsidRPr="00211A50">
              <w:rPr>
                <w:rFonts w:ascii="Arial" w:hAnsi="Arial" w:cs="Arial"/>
                <w:sz w:val="22"/>
                <w:szCs w:val="22"/>
              </w:rPr>
              <w:t>% of TEa</w:t>
            </w:r>
          </w:p>
        </w:tc>
      </w:tr>
      <w:tr w14:paraId="73308769" w14:textId="77777777" w:rsidTr="007A0C1B">
        <w:tblPrEx>
          <w:tblW w:w="6835" w:type="dxa"/>
          <w:tblInd w:w="2047" w:type="dxa"/>
          <w:tblLook w:val="04A0"/>
        </w:tblPrEx>
        <w:trPr>
          <w:trHeight w:val="432"/>
        </w:trPr>
        <w:tc>
          <w:tcPr>
            <w:tcW w:w="2065" w:type="dxa"/>
            <w:vAlign w:val="center"/>
          </w:tcPr>
          <w:p w:rsidR="007A0C1B" w:rsidRPr="00211A50" w:rsidP="007A0C1B" w14:paraId="00763D5C" w14:textId="77777777">
            <w:pPr>
              <w:spacing w:line="276" w:lineRule="auto"/>
              <w:rPr>
                <w:rFonts w:ascii="Arial" w:hAnsi="Arial" w:cs="Arial"/>
                <w:color w:val="4472C4"/>
                <w:sz w:val="22"/>
                <w:szCs w:val="22"/>
              </w:rPr>
            </w:pPr>
            <w:r w:rsidRPr="00211A50">
              <w:rPr>
                <w:rFonts w:ascii="Arial" w:hAnsi="Arial" w:cs="Arial"/>
                <w:color w:val="4472C4"/>
                <w:sz w:val="22"/>
                <w:szCs w:val="22"/>
              </w:rPr>
              <w:t>ALT</w:t>
            </w:r>
            <w:r>
              <w:rPr>
                <w:rFonts w:ascii="Arial" w:hAnsi="Arial" w:cs="Arial"/>
                <w:color w:val="4472C4"/>
                <w:sz w:val="22"/>
                <w:szCs w:val="22"/>
              </w:rPr>
              <w:t xml:space="preserve"> </w:t>
            </w:r>
          </w:p>
        </w:tc>
        <w:tc>
          <w:tcPr>
            <w:tcW w:w="2491" w:type="dxa"/>
            <w:shd w:val="clear" w:color="auto" w:fill="auto"/>
            <w:vAlign w:val="center"/>
          </w:tcPr>
          <w:p w:rsidR="007A0C1B" w:rsidRPr="00211A50" w:rsidP="007A0C1B" w14:paraId="531C9051"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c>
          <w:tcPr>
            <w:tcW w:w="2279" w:type="dxa"/>
            <w:vAlign w:val="center"/>
          </w:tcPr>
          <w:p w:rsidR="007A0C1B" w:rsidRPr="00211A50" w:rsidP="007A0C1B" w14:paraId="09D95F7A"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r>
      <w:tr w14:paraId="75F71091" w14:textId="77777777" w:rsidTr="007A0C1B">
        <w:tblPrEx>
          <w:tblW w:w="6835" w:type="dxa"/>
          <w:tblInd w:w="2047" w:type="dxa"/>
          <w:tblLook w:val="04A0"/>
        </w:tblPrEx>
        <w:trPr>
          <w:trHeight w:val="432"/>
        </w:trPr>
        <w:tc>
          <w:tcPr>
            <w:tcW w:w="2065" w:type="dxa"/>
            <w:vAlign w:val="center"/>
          </w:tcPr>
          <w:p w:rsidR="007A0C1B" w:rsidRPr="00211A50" w:rsidP="007A0C1B" w14:paraId="27C7BAE9" w14:textId="77777777">
            <w:pPr>
              <w:spacing w:line="276" w:lineRule="auto"/>
              <w:rPr>
                <w:rFonts w:ascii="Arial" w:hAnsi="Arial" w:cs="Arial"/>
                <w:color w:val="4472C4"/>
                <w:sz w:val="22"/>
                <w:szCs w:val="22"/>
              </w:rPr>
            </w:pPr>
            <w:r w:rsidRPr="00211A50">
              <w:rPr>
                <w:rFonts w:ascii="Arial" w:hAnsi="Arial" w:cs="Arial"/>
                <w:color w:val="4472C4"/>
                <w:sz w:val="22"/>
                <w:szCs w:val="22"/>
              </w:rPr>
              <w:t>AST</w:t>
            </w:r>
          </w:p>
        </w:tc>
        <w:tc>
          <w:tcPr>
            <w:tcW w:w="2491" w:type="dxa"/>
            <w:shd w:val="clear" w:color="auto" w:fill="auto"/>
            <w:vAlign w:val="center"/>
          </w:tcPr>
          <w:p w:rsidR="007A0C1B" w:rsidRPr="00211A50" w:rsidP="007A0C1B" w14:paraId="345A488C"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c>
          <w:tcPr>
            <w:tcW w:w="2279" w:type="dxa"/>
            <w:vAlign w:val="center"/>
          </w:tcPr>
          <w:p w:rsidR="007A0C1B" w:rsidRPr="00211A50" w:rsidP="007A0C1B" w14:paraId="069DFCC7"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r>
      <w:tr w14:paraId="5CCF7168" w14:textId="77777777" w:rsidTr="007A0C1B">
        <w:tblPrEx>
          <w:tblW w:w="6835" w:type="dxa"/>
          <w:tblInd w:w="2047" w:type="dxa"/>
          <w:tblLook w:val="04A0"/>
        </w:tblPrEx>
        <w:trPr>
          <w:trHeight w:val="432"/>
        </w:trPr>
        <w:tc>
          <w:tcPr>
            <w:tcW w:w="2065" w:type="dxa"/>
            <w:vAlign w:val="center"/>
          </w:tcPr>
          <w:p w:rsidR="007A0C1B" w:rsidRPr="00211A50" w:rsidP="007A0C1B" w14:paraId="2243864F" w14:textId="77777777">
            <w:pPr>
              <w:spacing w:line="276" w:lineRule="auto"/>
              <w:rPr>
                <w:rFonts w:ascii="Arial" w:hAnsi="Arial" w:cs="Arial"/>
                <w:color w:val="4472C4"/>
                <w:sz w:val="22"/>
                <w:szCs w:val="22"/>
              </w:rPr>
            </w:pPr>
            <w:r w:rsidRPr="00211A50">
              <w:rPr>
                <w:rFonts w:ascii="Arial" w:hAnsi="Arial" w:cs="Arial"/>
                <w:color w:val="4472C4"/>
                <w:sz w:val="22"/>
                <w:szCs w:val="22"/>
              </w:rPr>
              <w:t>Albumin</w:t>
            </w:r>
          </w:p>
        </w:tc>
        <w:tc>
          <w:tcPr>
            <w:tcW w:w="2491" w:type="dxa"/>
            <w:shd w:val="clear" w:color="auto" w:fill="auto"/>
            <w:vAlign w:val="center"/>
          </w:tcPr>
          <w:p w:rsidR="007A0C1B" w:rsidRPr="00211A50" w:rsidP="007A0C1B" w14:paraId="13845374"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c>
          <w:tcPr>
            <w:tcW w:w="2279" w:type="dxa"/>
            <w:vAlign w:val="center"/>
          </w:tcPr>
          <w:p w:rsidR="007A0C1B" w:rsidRPr="00211A50" w:rsidP="007A0C1B" w14:paraId="568238F2"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r>
      <w:tr w14:paraId="02B280C1" w14:textId="77777777" w:rsidTr="007A0C1B">
        <w:tblPrEx>
          <w:tblW w:w="6835" w:type="dxa"/>
          <w:tblInd w:w="2047" w:type="dxa"/>
          <w:tblLook w:val="04A0"/>
        </w:tblPrEx>
        <w:trPr>
          <w:trHeight w:val="432"/>
        </w:trPr>
        <w:tc>
          <w:tcPr>
            <w:tcW w:w="6835" w:type="dxa"/>
            <w:gridSpan w:val="3"/>
            <w:shd w:val="clear" w:color="auto" w:fill="E7E6E6" w:themeFill="background2"/>
            <w:vAlign w:val="center"/>
          </w:tcPr>
          <w:p w:rsidR="007A0C1B" w:rsidP="007A0C1B" w14:paraId="1D3E864A" w14:textId="77777777">
            <w:pPr>
              <w:spacing w:line="276" w:lineRule="auto"/>
              <w:jc w:val="center"/>
              <w:rPr>
                <w:rFonts w:ascii="Arial" w:hAnsi="Arial" w:cs="Arial"/>
                <w:color w:val="4472C4"/>
                <w:sz w:val="22"/>
                <w:szCs w:val="22"/>
              </w:rPr>
            </w:pPr>
            <w:r>
              <w:rPr>
                <w:rFonts w:ascii="Arial" w:hAnsi="Arial" w:cs="Arial"/>
                <w:sz w:val="22"/>
                <w:szCs w:val="22"/>
              </w:rPr>
              <w:t>Long-Term</w:t>
            </w:r>
          </w:p>
        </w:tc>
      </w:tr>
      <w:tr w14:paraId="65C6476E" w14:textId="77777777" w:rsidTr="007A0C1B">
        <w:tblPrEx>
          <w:tblW w:w="6835" w:type="dxa"/>
          <w:tblInd w:w="2047" w:type="dxa"/>
          <w:tblLook w:val="04A0"/>
        </w:tblPrEx>
        <w:trPr>
          <w:trHeight w:val="432"/>
        </w:trPr>
        <w:tc>
          <w:tcPr>
            <w:tcW w:w="2065" w:type="dxa"/>
            <w:vAlign w:val="center"/>
          </w:tcPr>
          <w:p w:rsidR="007A0C1B" w:rsidRPr="00211A50" w:rsidP="007A0C1B" w14:paraId="1502249D" w14:textId="77777777">
            <w:pPr>
              <w:spacing w:line="276" w:lineRule="auto"/>
              <w:jc w:val="center"/>
              <w:rPr>
                <w:rFonts w:ascii="Arial" w:hAnsi="Arial" w:cs="Arial"/>
                <w:sz w:val="22"/>
                <w:szCs w:val="22"/>
              </w:rPr>
            </w:pPr>
            <w:r w:rsidRPr="00211A50">
              <w:rPr>
                <w:rFonts w:ascii="Arial" w:hAnsi="Arial" w:cs="Arial"/>
                <w:sz w:val="22"/>
                <w:szCs w:val="22"/>
              </w:rPr>
              <w:t>Analyte</w:t>
            </w:r>
          </w:p>
        </w:tc>
        <w:tc>
          <w:tcPr>
            <w:tcW w:w="2491" w:type="dxa"/>
            <w:shd w:val="clear" w:color="auto" w:fill="auto"/>
            <w:vAlign w:val="center"/>
          </w:tcPr>
          <w:p w:rsidR="007A0C1B" w:rsidRPr="00211A50" w:rsidP="007A0C1B" w14:paraId="0E434CDE" w14:textId="77777777">
            <w:pPr>
              <w:spacing w:line="276" w:lineRule="auto"/>
              <w:jc w:val="center"/>
              <w:rPr>
                <w:rFonts w:ascii="Arial" w:hAnsi="Arial" w:cs="Arial"/>
                <w:sz w:val="22"/>
                <w:szCs w:val="22"/>
              </w:rPr>
            </w:pPr>
            <w:r w:rsidRPr="00211A50">
              <w:rPr>
                <w:rFonts w:ascii="Arial" w:hAnsi="Arial" w:cs="Arial"/>
                <w:sz w:val="22"/>
                <w:szCs w:val="22"/>
              </w:rPr>
              <w:t>Mfg Precision</w:t>
            </w:r>
          </w:p>
        </w:tc>
        <w:tc>
          <w:tcPr>
            <w:tcW w:w="2279" w:type="dxa"/>
            <w:vAlign w:val="center"/>
          </w:tcPr>
          <w:p w:rsidR="007A0C1B" w:rsidRPr="00211A50" w:rsidP="007A0C1B" w14:paraId="46E8A31C" w14:textId="77777777">
            <w:pPr>
              <w:spacing w:line="276" w:lineRule="auto"/>
              <w:jc w:val="center"/>
              <w:rPr>
                <w:rFonts w:ascii="Arial" w:hAnsi="Arial" w:cs="Arial"/>
                <w:sz w:val="22"/>
                <w:szCs w:val="22"/>
              </w:rPr>
            </w:pPr>
            <w:r w:rsidRPr="00211A50">
              <w:rPr>
                <w:rFonts w:ascii="Arial" w:hAnsi="Arial" w:cs="Arial"/>
                <w:sz w:val="22"/>
                <w:szCs w:val="22"/>
              </w:rPr>
              <w:t>33% of TEa</w:t>
            </w:r>
          </w:p>
        </w:tc>
      </w:tr>
      <w:tr w14:paraId="2D18F2EC" w14:textId="77777777" w:rsidTr="007A0C1B">
        <w:tblPrEx>
          <w:tblW w:w="6835" w:type="dxa"/>
          <w:tblInd w:w="2047" w:type="dxa"/>
          <w:tblLook w:val="04A0"/>
        </w:tblPrEx>
        <w:trPr>
          <w:trHeight w:val="432"/>
        </w:trPr>
        <w:tc>
          <w:tcPr>
            <w:tcW w:w="2065" w:type="dxa"/>
            <w:vAlign w:val="center"/>
          </w:tcPr>
          <w:p w:rsidR="007A0C1B" w:rsidRPr="00211A50" w:rsidP="007A0C1B" w14:paraId="02AF3423" w14:textId="77777777">
            <w:pPr>
              <w:spacing w:line="276" w:lineRule="auto"/>
              <w:rPr>
                <w:rFonts w:ascii="Arial" w:hAnsi="Arial" w:cs="Arial"/>
                <w:color w:val="4472C4"/>
                <w:sz w:val="22"/>
                <w:szCs w:val="22"/>
              </w:rPr>
            </w:pPr>
            <w:r w:rsidRPr="00211A50">
              <w:rPr>
                <w:rFonts w:ascii="Arial" w:hAnsi="Arial" w:cs="Arial"/>
                <w:color w:val="4472C4"/>
                <w:sz w:val="22"/>
                <w:szCs w:val="22"/>
              </w:rPr>
              <w:t>ALT</w:t>
            </w:r>
            <w:r>
              <w:rPr>
                <w:rFonts w:ascii="Arial" w:hAnsi="Arial" w:cs="Arial"/>
                <w:color w:val="4472C4"/>
                <w:sz w:val="22"/>
                <w:szCs w:val="22"/>
              </w:rPr>
              <w:t xml:space="preserve"> </w:t>
            </w:r>
          </w:p>
        </w:tc>
        <w:tc>
          <w:tcPr>
            <w:tcW w:w="2491" w:type="dxa"/>
            <w:shd w:val="clear" w:color="auto" w:fill="auto"/>
            <w:vAlign w:val="center"/>
          </w:tcPr>
          <w:p w:rsidR="007A0C1B" w:rsidRPr="00211A50" w:rsidP="007A0C1B" w14:paraId="166FC8C8"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c>
          <w:tcPr>
            <w:tcW w:w="2279" w:type="dxa"/>
            <w:vAlign w:val="center"/>
          </w:tcPr>
          <w:p w:rsidR="007A0C1B" w:rsidRPr="00211A50" w:rsidP="007A0C1B" w14:paraId="59765EA0"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r>
      <w:tr w14:paraId="719BADA9" w14:textId="77777777" w:rsidTr="007A0C1B">
        <w:tblPrEx>
          <w:tblW w:w="6835" w:type="dxa"/>
          <w:tblInd w:w="2047" w:type="dxa"/>
          <w:tblLook w:val="04A0"/>
        </w:tblPrEx>
        <w:trPr>
          <w:trHeight w:val="432"/>
        </w:trPr>
        <w:tc>
          <w:tcPr>
            <w:tcW w:w="2065" w:type="dxa"/>
            <w:vAlign w:val="center"/>
          </w:tcPr>
          <w:p w:rsidR="007A0C1B" w:rsidRPr="00211A50" w:rsidP="007A0C1B" w14:paraId="312C168F" w14:textId="77777777">
            <w:pPr>
              <w:spacing w:line="276" w:lineRule="auto"/>
              <w:rPr>
                <w:rFonts w:ascii="Arial" w:hAnsi="Arial" w:cs="Arial"/>
                <w:color w:val="4472C4"/>
                <w:sz w:val="22"/>
                <w:szCs w:val="22"/>
              </w:rPr>
            </w:pPr>
            <w:r w:rsidRPr="00211A50">
              <w:rPr>
                <w:rFonts w:ascii="Arial" w:hAnsi="Arial" w:cs="Arial"/>
                <w:color w:val="4472C4"/>
                <w:sz w:val="22"/>
                <w:szCs w:val="22"/>
              </w:rPr>
              <w:t>AST</w:t>
            </w:r>
          </w:p>
        </w:tc>
        <w:tc>
          <w:tcPr>
            <w:tcW w:w="2491" w:type="dxa"/>
            <w:shd w:val="clear" w:color="auto" w:fill="auto"/>
            <w:vAlign w:val="center"/>
          </w:tcPr>
          <w:p w:rsidR="007A0C1B" w:rsidRPr="00211A50" w:rsidP="007A0C1B" w14:paraId="036A4917"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c>
          <w:tcPr>
            <w:tcW w:w="2279" w:type="dxa"/>
            <w:vAlign w:val="center"/>
          </w:tcPr>
          <w:p w:rsidR="007A0C1B" w:rsidRPr="00211A50" w:rsidP="007A0C1B" w14:paraId="1F82A25E"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r>
      <w:tr w14:paraId="3B6DDFA4" w14:textId="77777777" w:rsidTr="007A0C1B">
        <w:tblPrEx>
          <w:tblW w:w="6835" w:type="dxa"/>
          <w:tblInd w:w="2047" w:type="dxa"/>
          <w:tblLook w:val="04A0"/>
        </w:tblPrEx>
        <w:trPr>
          <w:trHeight w:val="432"/>
        </w:trPr>
        <w:tc>
          <w:tcPr>
            <w:tcW w:w="2065" w:type="dxa"/>
            <w:vAlign w:val="center"/>
          </w:tcPr>
          <w:p w:rsidR="007A0C1B" w:rsidRPr="00211A50" w:rsidP="007A0C1B" w14:paraId="7C623177" w14:textId="77777777">
            <w:pPr>
              <w:spacing w:line="276" w:lineRule="auto"/>
              <w:rPr>
                <w:rFonts w:ascii="Arial" w:hAnsi="Arial" w:cs="Arial"/>
                <w:color w:val="4472C4"/>
                <w:sz w:val="22"/>
                <w:szCs w:val="22"/>
              </w:rPr>
            </w:pPr>
            <w:r w:rsidRPr="00211A50">
              <w:rPr>
                <w:rFonts w:ascii="Arial" w:hAnsi="Arial" w:cs="Arial"/>
                <w:color w:val="4472C4"/>
                <w:sz w:val="22"/>
                <w:szCs w:val="22"/>
              </w:rPr>
              <w:t>Albumin</w:t>
            </w:r>
          </w:p>
        </w:tc>
        <w:tc>
          <w:tcPr>
            <w:tcW w:w="2491" w:type="dxa"/>
            <w:shd w:val="clear" w:color="auto" w:fill="auto"/>
            <w:vAlign w:val="center"/>
          </w:tcPr>
          <w:p w:rsidR="007A0C1B" w:rsidRPr="00211A50" w:rsidP="007A0C1B" w14:paraId="5E1092D9"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c>
          <w:tcPr>
            <w:tcW w:w="2279" w:type="dxa"/>
            <w:vAlign w:val="center"/>
          </w:tcPr>
          <w:p w:rsidR="007A0C1B" w:rsidRPr="00211A50" w:rsidP="007A0C1B" w14:paraId="3CDE68F9" w14:textId="77777777">
            <w:pPr>
              <w:spacing w:line="276" w:lineRule="auto"/>
              <w:jc w:val="center"/>
              <w:rPr>
                <w:rFonts w:ascii="Arial" w:hAnsi="Arial" w:cs="Arial"/>
                <w:color w:val="4472C4"/>
                <w:sz w:val="22"/>
                <w:szCs w:val="22"/>
              </w:rPr>
            </w:pPr>
            <w:r>
              <w:rPr>
                <w:rFonts w:ascii="Arial" w:hAnsi="Arial" w:cs="Arial"/>
                <w:color w:val="4472C4"/>
                <w:sz w:val="22"/>
                <w:szCs w:val="22"/>
              </w:rPr>
              <w:t>(00.00</w:t>
            </w:r>
            <w:r w:rsidRPr="00211A50">
              <w:rPr>
                <w:rFonts w:ascii="Arial" w:hAnsi="Arial" w:cs="Arial"/>
                <w:color w:val="4472C4"/>
                <w:sz w:val="22"/>
                <w:szCs w:val="22"/>
              </w:rPr>
              <w:t>%</w:t>
            </w:r>
            <w:r>
              <w:rPr>
                <w:rFonts w:ascii="Arial" w:hAnsi="Arial" w:cs="Arial"/>
                <w:color w:val="4472C4"/>
                <w:sz w:val="22"/>
                <w:szCs w:val="22"/>
              </w:rPr>
              <w:t>)</w:t>
            </w:r>
          </w:p>
        </w:tc>
      </w:tr>
    </w:tbl>
    <w:p w:rsidR="003C4B2F" w:rsidRPr="00211A50" w:rsidP="007A0C1B" w14:paraId="01295F7D" w14:textId="77777777">
      <w:pPr>
        <w:spacing w:line="276" w:lineRule="auto"/>
        <w:rPr>
          <w:rFonts w:ascii="Arial" w:hAnsi="Arial" w:cs="Arial"/>
          <w:color w:val="FF0000"/>
          <w:sz w:val="22"/>
          <w:szCs w:val="22"/>
        </w:rPr>
      </w:pPr>
    </w:p>
    <w:p w:rsidR="00CD3673" w:rsidRPr="00211A50" w:rsidP="00211A50" w14:paraId="2B40E7C6" w14:textId="77777777">
      <w:pPr>
        <w:numPr>
          <w:ilvl w:val="0"/>
          <w:numId w:val="20"/>
        </w:numPr>
        <w:spacing w:line="276" w:lineRule="auto"/>
        <w:rPr>
          <w:rFonts w:ascii="Arial" w:hAnsi="Arial" w:cs="Arial"/>
          <w:b/>
          <w:sz w:val="22"/>
          <w:szCs w:val="22"/>
        </w:rPr>
      </w:pPr>
      <w:r w:rsidRPr="00211A50">
        <w:rPr>
          <w:rFonts w:ascii="Arial" w:hAnsi="Arial" w:cs="Arial"/>
          <w:b/>
          <w:sz w:val="22"/>
          <w:szCs w:val="22"/>
        </w:rPr>
        <w:t>Accuracy</w:t>
      </w:r>
    </w:p>
    <w:p w:rsidR="008F565F" w:rsidRPr="00211A50" w:rsidP="00F14803" w14:paraId="74085498" w14:textId="77777777">
      <w:pPr>
        <w:numPr>
          <w:ilvl w:val="0"/>
          <w:numId w:val="25"/>
        </w:numPr>
        <w:spacing w:line="276" w:lineRule="auto"/>
        <w:rPr>
          <w:rFonts w:ascii="Arial" w:hAnsi="Arial" w:cs="Arial"/>
          <w:b/>
          <w:sz w:val="22"/>
          <w:szCs w:val="22"/>
        </w:rPr>
      </w:pPr>
      <w:bookmarkStart w:id="5" w:name="_Hlk132802943"/>
      <w:r w:rsidRPr="00211A50">
        <w:rPr>
          <w:rFonts w:ascii="Arial" w:hAnsi="Arial" w:cs="Arial"/>
          <w:sz w:val="22"/>
          <w:szCs w:val="22"/>
        </w:rPr>
        <w:t>Accuracy i</w:t>
      </w:r>
      <w:r w:rsidRPr="00211A50" w:rsidR="002356F2">
        <w:rPr>
          <w:rFonts w:ascii="Arial" w:hAnsi="Arial" w:cs="Arial"/>
          <w:sz w:val="22"/>
          <w:szCs w:val="22"/>
        </w:rPr>
        <w:t xml:space="preserve">s the true value of a substance being </w:t>
      </w:r>
      <w:r w:rsidRPr="00211A50" w:rsidR="00DD19BE">
        <w:rPr>
          <w:rFonts w:ascii="Arial" w:hAnsi="Arial" w:cs="Arial"/>
          <w:sz w:val="22"/>
          <w:szCs w:val="22"/>
        </w:rPr>
        <w:t>meas</w:t>
      </w:r>
      <w:r w:rsidRPr="00211A50">
        <w:rPr>
          <w:rFonts w:ascii="Arial" w:hAnsi="Arial" w:cs="Arial"/>
          <w:sz w:val="22"/>
          <w:szCs w:val="22"/>
        </w:rPr>
        <w:t>ured.</w:t>
      </w:r>
      <w:r w:rsidRPr="00211A50" w:rsidR="002356F2">
        <w:rPr>
          <w:rFonts w:ascii="Arial" w:hAnsi="Arial" w:cs="Arial"/>
          <w:sz w:val="22"/>
          <w:szCs w:val="22"/>
        </w:rPr>
        <w:t xml:space="preserve"> Verification of accuracy is the process of determining that the test system is producing true, valid results.</w:t>
      </w:r>
      <w:r w:rsidR="00FD5457">
        <w:rPr>
          <w:rFonts w:ascii="Arial" w:hAnsi="Arial" w:cs="Arial"/>
          <w:sz w:val="22"/>
          <w:szCs w:val="22"/>
        </w:rPr>
        <w:t xml:space="preserve"> </w:t>
      </w:r>
      <w:bookmarkEnd w:id="5"/>
      <w:r w:rsidRPr="00211A50" w:rsidR="00386A86">
        <w:rPr>
          <w:rFonts w:ascii="Arial" w:hAnsi="Arial" w:cs="Arial"/>
          <w:sz w:val="22"/>
          <w:szCs w:val="22"/>
        </w:rPr>
        <w:t>Accuracy will be tested on measured analytes only.</w:t>
      </w:r>
    </w:p>
    <w:p w:rsidR="00EF3140" w:rsidP="00EF3140" w14:paraId="1667E067" w14:textId="77777777">
      <w:pPr>
        <w:numPr>
          <w:ilvl w:val="0"/>
          <w:numId w:val="25"/>
        </w:numPr>
        <w:spacing w:line="276" w:lineRule="auto"/>
        <w:rPr>
          <w:rFonts w:ascii="Arial" w:hAnsi="Arial" w:cs="Arial"/>
          <w:sz w:val="22"/>
          <w:szCs w:val="22"/>
        </w:rPr>
      </w:pPr>
      <w:r w:rsidRPr="00EF3140">
        <w:rPr>
          <w:rFonts w:ascii="Arial" w:hAnsi="Arial" w:cs="Arial"/>
          <w:sz w:val="22"/>
          <w:szCs w:val="22"/>
        </w:rPr>
        <w:t>The ideal number of samples is 40, however a minimum of 20 samples that</w:t>
      </w:r>
      <w:r>
        <w:rPr>
          <w:rFonts w:ascii="Arial" w:hAnsi="Arial" w:cs="Arial"/>
          <w:sz w:val="22"/>
          <w:szCs w:val="22"/>
        </w:rPr>
        <w:t xml:space="preserve"> </w:t>
      </w:r>
      <w:r w:rsidRPr="00EF3140">
        <w:rPr>
          <w:rFonts w:ascii="Arial" w:hAnsi="Arial" w:cs="Arial"/>
          <w:sz w:val="22"/>
          <w:szCs w:val="22"/>
        </w:rPr>
        <w:t>cover the reportable range of the method and include points near the medical</w:t>
      </w:r>
      <w:r>
        <w:rPr>
          <w:rFonts w:ascii="Arial" w:hAnsi="Arial" w:cs="Arial"/>
          <w:sz w:val="22"/>
          <w:szCs w:val="22"/>
        </w:rPr>
        <w:t xml:space="preserve"> </w:t>
      </w:r>
      <w:r w:rsidRPr="00EF3140">
        <w:rPr>
          <w:rFonts w:ascii="Arial" w:hAnsi="Arial" w:cs="Arial"/>
          <w:sz w:val="22"/>
          <w:szCs w:val="22"/>
        </w:rPr>
        <w:t>decision points, if possible is acceptable.</w:t>
      </w:r>
    </w:p>
    <w:p w:rsidR="00AA793C" w:rsidRPr="00EF3140" w:rsidP="00EF3140" w14:paraId="7EA2435D" w14:textId="28566B87">
      <w:pPr>
        <w:numPr>
          <w:ilvl w:val="0"/>
          <w:numId w:val="25"/>
        </w:numPr>
        <w:spacing w:line="276" w:lineRule="auto"/>
        <w:rPr>
          <w:rFonts w:ascii="Arial" w:hAnsi="Arial" w:cs="Arial"/>
          <w:sz w:val="22"/>
          <w:szCs w:val="22"/>
        </w:rPr>
      </w:pPr>
      <w:r w:rsidRPr="00EF3140">
        <w:rPr>
          <w:rFonts w:ascii="Arial" w:hAnsi="Arial" w:cs="Arial"/>
          <w:sz w:val="22"/>
          <w:szCs w:val="22"/>
        </w:rPr>
        <w:t>Accuracy will be</w:t>
      </w:r>
      <w:r w:rsidRPr="00EF3140">
        <w:rPr>
          <w:rFonts w:ascii="Arial" w:hAnsi="Arial" w:cs="Arial"/>
          <w:sz w:val="22"/>
          <w:szCs w:val="22"/>
        </w:rPr>
        <w:t xml:space="preserve"> </w:t>
      </w:r>
      <w:r w:rsidRPr="00EF3140" w:rsidR="002446D0">
        <w:rPr>
          <w:rFonts w:ascii="Arial" w:hAnsi="Arial" w:cs="Arial"/>
          <w:sz w:val="22"/>
          <w:szCs w:val="22"/>
        </w:rPr>
        <w:t>d</w:t>
      </w:r>
      <w:r w:rsidRPr="00EF3140" w:rsidR="002356F2">
        <w:rPr>
          <w:rFonts w:ascii="Arial" w:hAnsi="Arial" w:cs="Arial"/>
          <w:sz w:val="22"/>
          <w:szCs w:val="22"/>
        </w:rPr>
        <w:t>etermined by</w:t>
      </w:r>
      <w:r w:rsidRPr="00EF3140" w:rsidR="00552B88">
        <w:rPr>
          <w:rFonts w:ascii="Arial" w:hAnsi="Arial" w:cs="Arial"/>
          <w:sz w:val="22"/>
          <w:szCs w:val="22"/>
        </w:rPr>
        <w:t xml:space="preserve"> one of the options below</w:t>
      </w:r>
      <w:r w:rsidRPr="00EF3140" w:rsidR="002356F2">
        <w:rPr>
          <w:rFonts w:ascii="Arial" w:hAnsi="Arial" w:cs="Arial"/>
          <w:sz w:val="22"/>
          <w:szCs w:val="22"/>
        </w:rPr>
        <w:t>:</w:t>
      </w:r>
    </w:p>
    <w:p w:rsidR="00552B88" w:rsidRPr="00211A50" w:rsidP="00F14803" w14:paraId="31FF3DD9" w14:textId="77777777">
      <w:pPr>
        <w:numPr>
          <w:ilvl w:val="1"/>
          <w:numId w:val="25"/>
        </w:numPr>
        <w:spacing w:line="276" w:lineRule="auto"/>
        <w:rPr>
          <w:rFonts w:ascii="Arial" w:hAnsi="Arial" w:cs="Arial"/>
          <w:b/>
          <w:sz w:val="22"/>
          <w:szCs w:val="22"/>
        </w:rPr>
      </w:pPr>
      <w:r w:rsidRPr="00211A50">
        <w:rPr>
          <w:rFonts w:ascii="Arial" w:hAnsi="Arial" w:cs="Arial"/>
          <w:sz w:val="22"/>
          <w:szCs w:val="22"/>
        </w:rPr>
        <w:t xml:space="preserve">Option A: </w:t>
      </w:r>
      <w:r w:rsidRPr="00211A50" w:rsidR="00AA793C">
        <w:rPr>
          <w:rFonts w:ascii="Arial" w:hAnsi="Arial" w:cs="Arial"/>
          <w:sz w:val="22"/>
          <w:szCs w:val="22"/>
        </w:rPr>
        <w:t>A minimum of 2</w:t>
      </w:r>
      <w:r w:rsidRPr="00211A50" w:rsidR="003C311D">
        <w:rPr>
          <w:rFonts w:ascii="Arial" w:hAnsi="Arial" w:cs="Arial"/>
          <w:sz w:val="22"/>
          <w:szCs w:val="22"/>
        </w:rPr>
        <w:t>0 samples</w:t>
      </w:r>
      <w:r w:rsidRPr="00211A50" w:rsidR="00AA793C">
        <w:rPr>
          <w:rFonts w:ascii="Arial" w:hAnsi="Arial" w:cs="Arial"/>
          <w:sz w:val="22"/>
          <w:szCs w:val="22"/>
        </w:rPr>
        <w:t xml:space="preserve">, tested in duplicate. </w:t>
      </w:r>
      <w:r w:rsidRPr="00211A50" w:rsidR="003C311D">
        <w:rPr>
          <w:rFonts w:ascii="Arial" w:hAnsi="Arial" w:cs="Arial"/>
          <w:sz w:val="22"/>
          <w:szCs w:val="22"/>
        </w:rPr>
        <w:t>These will be primarily patient samples b</w:t>
      </w:r>
      <w:r w:rsidRPr="00211A50" w:rsidR="00AA793C">
        <w:rPr>
          <w:rFonts w:ascii="Arial" w:hAnsi="Arial" w:cs="Arial"/>
          <w:sz w:val="22"/>
          <w:szCs w:val="22"/>
        </w:rPr>
        <w:t xml:space="preserve">ut may </w:t>
      </w:r>
      <w:r w:rsidRPr="00211A50" w:rsidR="003C311D">
        <w:rPr>
          <w:rFonts w:ascii="Arial" w:hAnsi="Arial" w:cs="Arial"/>
          <w:sz w:val="22"/>
          <w:szCs w:val="22"/>
        </w:rPr>
        <w:t xml:space="preserve">include </w:t>
      </w:r>
      <w:r w:rsidRPr="00211A50" w:rsidR="00AA793C">
        <w:rPr>
          <w:rFonts w:ascii="Arial" w:hAnsi="Arial" w:cs="Arial"/>
          <w:sz w:val="22"/>
          <w:szCs w:val="22"/>
        </w:rPr>
        <w:t>commercial proficiency testing</w:t>
      </w:r>
      <w:r w:rsidRPr="00211A50" w:rsidR="003C311D">
        <w:rPr>
          <w:rFonts w:ascii="Arial" w:hAnsi="Arial" w:cs="Arial"/>
          <w:sz w:val="22"/>
          <w:szCs w:val="22"/>
        </w:rPr>
        <w:t xml:space="preserve"> or control samples</w:t>
      </w:r>
      <w:r w:rsidRPr="00211A50" w:rsidR="00E505AB">
        <w:rPr>
          <w:rFonts w:ascii="Arial" w:hAnsi="Arial" w:cs="Arial"/>
          <w:sz w:val="22"/>
          <w:szCs w:val="22"/>
        </w:rPr>
        <w:t xml:space="preserve"> i</w:t>
      </w:r>
      <w:r w:rsidRPr="00211A50" w:rsidR="00075A4E">
        <w:rPr>
          <w:rFonts w:ascii="Arial" w:hAnsi="Arial" w:cs="Arial"/>
          <w:sz w:val="22"/>
          <w:szCs w:val="22"/>
        </w:rPr>
        <w:t>n order to provide material that</w:t>
      </w:r>
      <w:r w:rsidRPr="00211A50" w:rsidR="00E505AB">
        <w:rPr>
          <w:rFonts w:ascii="Arial" w:hAnsi="Arial" w:cs="Arial"/>
          <w:sz w:val="22"/>
          <w:szCs w:val="22"/>
        </w:rPr>
        <w:t xml:space="preserve"> covers the reportable range</w:t>
      </w:r>
      <w:r w:rsidRPr="00211A50" w:rsidR="00075A4E">
        <w:rPr>
          <w:rFonts w:ascii="Arial" w:hAnsi="Arial" w:cs="Arial"/>
          <w:sz w:val="22"/>
          <w:szCs w:val="22"/>
        </w:rPr>
        <w:t>.</w:t>
      </w:r>
      <w:r w:rsidRPr="00211A50" w:rsidR="003C311D">
        <w:rPr>
          <w:rFonts w:ascii="Arial" w:hAnsi="Arial" w:cs="Arial"/>
          <w:sz w:val="22"/>
          <w:szCs w:val="22"/>
        </w:rPr>
        <w:t xml:space="preserve">  The samples will </w:t>
      </w:r>
      <w:r w:rsidRPr="00211A50" w:rsidR="00E505AB">
        <w:rPr>
          <w:rFonts w:ascii="Arial" w:hAnsi="Arial" w:cs="Arial"/>
          <w:sz w:val="22"/>
          <w:szCs w:val="22"/>
        </w:rPr>
        <w:t xml:space="preserve">be tested </w:t>
      </w:r>
      <w:r w:rsidRPr="00211A50" w:rsidR="0035742C">
        <w:rPr>
          <w:rFonts w:ascii="Arial" w:hAnsi="Arial" w:cs="Arial"/>
          <w:sz w:val="22"/>
          <w:szCs w:val="22"/>
        </w:rPr>
        <w:t xml:space="preserve">on </w:t>
      </w:r>
      <w:r w:rsidRPr="00211A50" w:rsidR="0035742C">
        <w:rPr>
          <w:rFonts w:ascii="Arial" w:hAnsi="Arial" w:cs="Arial"/>
          <w:color w:val="4472C4"/>
          <w:sz w:val="22"/>
          <w:szCs w:val="22"/>
        </w:rPr>
        <w:t>(</w:t>
      </w:r>
      <w:r w:rsidRPr="00211A50" w:rsidR="00744DE1">
        <w:rPr>
          <w:rFonts w:ascii="Arial" w:hAnsi="Arial" w:cs="Arial"/>
          <w:color w:val="4472C4"/>
          <w:sz w:val="22"/>
          <w:szCs w:val="22"/>
        </w:rPr>
        <w:t>insert n</w:t>
      </w:r>
      <w:r w:rsidRPr="00211A50" w:rsidR="00746619">
        <w:rPr>
          <w:rFonts w:ascii="Arial" w:hAnsi="Arial" w:cs="Arial"/>
          <w:color w:val="4472C4"/>
          <w:sz w:val="22"/>
          <w:szCs w:val="22"/>
        </w:rPr>
        <w:t xml:space="preserve">ame of </w:t>
      </w:r>
      <w:r w:rsidRPr="00211A50" w:rsidR="00744DE1">
        <w:rPr>
          <w:rFonts w:ascii="Arial" w:hAnsi="Arial" w:cs="Arial"/>
          <w:color w:val="4472C4"/>
          <w:sz w:val="22"/>
          <w:szCs w:val="22"/>
        </w:rPr>
        <w:t>c</w:t>
      </w:r>
      <w:r w:rsidRPr="00211A50" w:rsidR="00D67615">
        <w:rPr>
          <w:rFonts w:ascii="Arial" w:hAnsi="Arial" w:cs="Arial"/>
          <w:color w:val="4472C4"/>
          <w:sz w:val="22"/>
          <w:szCs w:val="22"/>
        </w:rPr>
        <w:t xml:space="preserve">omparison </w:t>
      </w:r>
      <w:r w:rsidRPr="00211A50" w:rsidR="00744DE1">
        <w:rPr>
          <w:rFonts w:ascii="Arial" w:hAnsi="Arial" w:cs="Arial"/>
          <w:color w:val="4472C4"/>
          <w:sz w:val="22"/>
          <w:szCs w:val="22"/>
        </w:rPr>
        <w:t>i</w:t>
      </w:r>
      <w:r w:rsidRPr="00211A50" w:rsidR="00746619">
        <w:rPr>
          <w:rFonts w:ascii="Arial" w:hAnsi="Arial" w:cs="Arial"/>
          <w:color w:val="4472C4"/>
          <w:sz w:val="22"/>
          <w:szCs w:val="22"/>
        </w:rPr>
        <w:t>nstrument</w:t>
      </w:r>
      <w:r w:rsidRPr="00211A50" w:rsidR="0035742C">
        <w:rPr>
          <w:rFonts w:ascii="Arial" w:hAnsi="Arial" w:cs="Arial"/>
          <w:color w:val="4472C4"/>
          <w:sz w:val="22"/>
          <w:szCs w:val="22"/>
        </w:rPr>
        <w:t>)</w:t>
      </w:r>
      <w:r w:rsidRPr="00211A50" w:rsidR="00575F57">
        <w:rPr>
          <w:rFonts w:ascii="Arial" w:hAnsi="Arial" w:cs="Arial"/>
          <w:color w:val="4472C4"/>
          <w:sz w:val="22"/>
          <w:szCs w:val="22"/>
        </w:rPr>
        <w:t xml:space="preserve"> </w:t>
      </w:r>
      <w:r w:rsidRPr="00211A50" w:rsidR="00575F57">
        <w:rPr>
          <w:rFonts w:ascii="Arial" w:hAnsi="Arial" w:cs="Arial"/>
          <w:sz w:val="22"/>
          <w:szCs w:val="22"/>
        </w:rPr>
        <w:t>located at</w:t>
      </w:r>
      <w:r w:rsidRPr="00211A50" w:rsidR="00746619">
        <w:rPr>
          <w:rFonts w:ascii="Arial" w:hAnsi="Arial" w:cs="Arial"/>
          <w:sz w:val="22"/>
          <w:szCs w:val="22"/>
        </w:rPr>
        <w:t xml:space="preserve"> </w:t>
      </w:r>
      <w:r w:rsidRPr="00211A50" w:rsidR="0035742C">
        <w:rPr>
          <w:rFonts w:ascii="Arial" w:hAnsi="Arial" w:cs="Arial"/>
          <w:color w:val="4472C4"/>
          <w:sz w:val="22"/>
          <w:szCs w:val="22"/>
        </w:rPr>
        <w:t>(</w:t>
      </w:r>
      <w:r w:rsidRPr="00211A50" w:rsidR="00744DE1">
        <w:rPr>
          <w:rFonts w:ascii="Arial" w:hAnsi="Arial" w:cs="Arial"/>
          <w:color w:val="4472C4"/>
          <w:sz w:val="22"/>
          <w:szCs w:val="22"/>
        </w:rPr>
        <w:t>i</w:t>
      </w:r>
      <w:r w:rsidRPr="00211A50" w:rsidR="00746619">
        <w:rPr>
          <w:rFonts w:ascii="Arial" w:hAnsi="Arial" w:cs="Arial"/>
          <w:color w:val="4472C4"/>
          <w:sz w:val="22"/>
          <w:szCs w:val="22"/>
        </w:rPr>
        <w:t>nsert name and location of laboratory</w:t>
      </w:r>
      <w:r w:rsidRPr="00211A50" w:rsidR="0035742C">
        <w:rPr>
          <w:rFonts w:ascii="Arial" w:hAnsi="Arial" w:cs="Arial"/>
          <w:color w:val="4472C4"/>
          <w:sz w:val="22"/>
          <w:szCs w:val="22"/>
        </w:rPr>
        <w:t>)</w:t>
      </w:r>
      <w:r w:rsidRPr="00211A50" w:rsidR="003C311D">
        <w:rPr>
          <w:rFonts w:ascii="Arial" w:hAnsi="Arial" w:cs="Arial"/>
          <w:sz w:val="22"/>
          <w:szCs w:val="22"/>
        </w:rPr>
        <w:t xml:space="preserve">. </w:t>
      </w:r>
      <w:r w:rsidRPr="00211A50" w:rsidR="00D67615">
        <w:rPr>
          <w:rFonts w:ascii="Arial" w:hAnsi="Arial" w:cs="Arial"/>
          <w:sz w:val="22"/>
          <w:szCs w:val="22"/>
        </w:rPr>
        <w:t xml:space="preserve"> The samples will be tested</w:t>
      </w:r>
      <w:r w:rsidRPr="00211A50" w:rsidR="00AA793C">
        <w:rPr>
          <w:rFonts w:ascii="Arial" w:hAnsi="Arial" w:cs="Arial"/>
          <w:sz w:val="22"/>
          <w:szCs w:val="22"/>
        </w:rPr>
        <w:t xml:space="preserve"> in duplicate on both instruments and duplicates will be averaged.</w:t>
      </w:r>
      <w:r w:rsidRPr="00211A50" w:rsidR="00164FA1">
        <w:rPr>
          <w:rFonts w:ascii="Arial" w:hAnsi="Arial" w:cs="Arial"/>
          <w:sz w:val="22"/>
          <w:szCs w:val="22"/>
        </w:rPr>
        <w:t xml:space="preserve"> </w:t>
      </w:r>
      <w:r w:rsidRPr="00211A50" w:rsidR="004A5972">
        <w:rPr>
          <w:rFonts w:ascii="Arial" w:hAnsi="Arial" w:cs="Arial"/>
          <w:sz w:val="22"/>
          <w:szCs w:val="22"/>
        </w:rPr>
        <w:t>Ideally testing will occur on both instruments within 2 hours.</w:t>
      </w:r>
      <w:r w:rsidRPr="00211A50" w:rsidR="00D67615">
        <w:rPr>
          <w:rFonts w:ascii="Arial" w:hAnsi="Arial" w:cs="Arial"/>
          <w:sz w:val="22"/>
          <w:szCs w:val="22"/>
        </w:rPr>
        <w:t xml:space="preserve"> </w:t>
      </w:r>
    </w:p>
    <w:p w:rsidR="00075A4E" w:rsidRPr="00211A50" w:rsidP="00F14803" w14:paraId="27F47970" w14:textId="77777777">
      <w:pPr>
        <w:numPr>
          <w:ilvl w:val="1"/>
          <w:numId w:val="25"/>
        </w:numPr>
        <w:spacing w:line="276" w:lineRule="auto"/>
        <w:rPr>
          <w:rFonts w:ascii="Arial" w:hAnsi="Arial" w:cs="Arial"/>
          <w:b/>
          <w:sz w:val="22"/>
          <w:szCs w:val="22"/>
        </w:rPr>
      </w:pPr>
      <w:r w:rsidRPr="00211A50">
        <w:rPr>
          <w:rFonts w:ascii="Arial" w:hAnsi="Arial" w:cs="Arial"/>
          <w:sz w:val="22"/>
          <w:szCs w:val="22"/>
        </w:rPr>
        <w:t xml:space="preserve">Option B: A minimum of 20 samples with known values, such as proficiency testing samples or </w:t>
      </w:r>
      <w:r w:rsidRPr="00211A50" w:rsidR="00FE2309">
        <w:rPr>
          <w:rFonts w:ascii="Arial" w:hAnsi="Arial" w:cs="Arial"/>
          <w:sz w:val="22"/>
          <w:szCs w:val="22"/>
        </w:rPr>
        <w:t>External Quality assurance (EQA) samples</w:t>
      </w:r>
      <w:r w:rsidRPr="00211A50">
        <w:rPr>
          <w:rFonts w:ascii="Arial" w:hAnsi="Arial" w:cs="Arial"/>
          <w:sz w:val="22"/>
          <w:szCs w:val="22"/>
        </w:rPr>
        <w:t>, will be used as the reference method.</w:t>
      </w:r>
      <w:r w:rsidRPr="00211A50">
        <w:rPr>
          <w:rFonts w:ascii="Arial" w:hAnsi="Arial" w:cs="Arial"/>
          <w:color w:val="4472C4"/>
          <w:sz w:val="22"/>
          <w:szCs w:val="22"/>
        </w:rPr>
        <w:t xml:space="preserve"> </w:t>
      </w:r>
      <w:r w:rsidRPr="00211A50" w:rsidR="00C2327D">
        <w:rPr>
          <w:rFonts w:ascii="Arial" w:hAnsi="Arial" w:cs="Arial"/>
          <w:color w:val="4472C4"/>
          <w:sz w:val="22"/>
          <w:szCs w:val="22"/>
        </w:rPr>
        <w:t>(</w:t>
      </w:r>
      <w:r w:rsidRPr="00211A50" w:rsidR="00744DE1">
        <w:rPr>
          <w:rFonts w:ascii="Arial" w:hAnsi="Arial" w:cs="Arial"/>
          <w:color w:val="4472C4"/>
          <w:sz w:val="22"/>
          <w:szCs w:val="22"/>
        </w:rPr>
        <w:t>Insert n</w:t>
      </w:r>
      <w:r w:rsidRPr="00211A50" w:rsidR="009C5CF9">
        <w:rPr>
          <w:rFonts w:ascii="Arial" w:hAnsi="Arial" w:cs="Arial"/>
          <w:color w:val="4472C4"/>
          <w:sz w:val="22"/>
          <w:szCs w:val="22"/>
        </w:rPr>
        <w:t xml:space="preserve">ame of </w:t>
      </w:r>
      <w:r w:rsidRPr="00211A50" w:rsidR="00744DE1">
        <w:rPr>
          <w:rFonts w:ascii="Arial" w:hAnsi="Arial" w:cs="Arial"/>
          <w:color w:val="4472C4"/>
          <w:sz w:val="22"/>
          <w:szCs w:val="22"/>
        </w:rPr>
        <w:t>proficiency panel(s)or s</w:t>
      </w:r>
      <w:r w:rsidRPr="00211A50" w:rsidR="009C5CF9">
        <w:rPr>
          <w:rFonts w:ascii="Arial" w:hAnsi="Arial" w:cs="Arial"/>
          <w:color w:val="4472C4"/>
          <w:sz w:val="22"/>
          <w:szCs w:val="22"/>
        </w:rPr>
        <w:t>tandards</w:t>
      </w:r>
      <w:r w:rsidRPr="00211A50" w:rsidR="00C2327D">
        <w:rPr>
          <w:rFonts w:ascii="Arial" w:hAnsi="Arial" w:cs="Arial"/>
          <w:color w:val="4472C4"/>
          <w:sz w:val="22"/>
          <w:szCs w:val="22"/>
        </w:rPr>
        <w:t>)</w:t>
      </w:r>
      <w:r w:rsidRPr="00211A50" w:rsidR="009C5CF9">
        <w:rPr>
          <w:rFonts w:ascii="Arial" w:hAnsi="Arial" w:cs="Arial"/>
          <w:color w:val="4472C4"/>
          <w:sz w:val="22"/>
          <w:szCs w:val="22"/>
        </w:rPr>
        <w:t xml:space="preserve"> </w:t>
      </w:r>
      <w:r w:rsidRPr="00211A50" w:rsidR="009C5CF9">
        <w:rPr>
          <w:rFonts w:ascii="Arial" w:hAnsi="Arial" w:cs="Arial"/>
          <w:sz w:val="22"/>
          <w:szCs w:val="22"/>
        </w:rPr>
        <w:t>will be used and the results compared to the peer means or assayed values.</w:t>
      </w:r>
    </w:p>
    <w:p w:rsidR="00B61182" w:rsidRPr="00211A50" w:rsidP="00F14803" w14:paraId="68E37BBA" w14:textId="77777777">
      <w:pPr>
        <w:numPr>
          <w:ilvl w:val="0"/>
          <w:numId w:val="25"/>
        </w:numPr>
        <w:spacing w:line="276" w:lineRule="auto"/>
        <w:rPr>
          <w:rFonts w:ascii="Arial" w:hAnsi="Arial" w:cs="Arial"/>
          <w:b/>
          <w:sz w:val="22"/>
          <w:szCs w:val="22"/>
        </w:rPr>
      </w:pPr>
      <w:r w:rsidRPr="00211A50">
        <w:rPr>
          <w:rFonts w:ascii="Arial" w:hAnsi="Arial" w:cs="Arial"/>
          <w:sz w:val="22"/>
          <w:szCs w:val="22"/>
        </w:rPr>
        <w:t>Acceptability criteria</w:t>
      </w:r>
      <w:r w:rsidRPr="00211A50">
        <w:rPr>
          <w:rFonts w:ascii="Arial" w:hAnsi="Arial" w:cs="Arial"/>
          <w:sz w:val="22"/>
          <w:szCs w:val="22"/>
        </w:rPr>
        <w:t>:</w:t>
      </w:r>
      <w:r w:rsidRPr="00211A50" w:rsidR="00537476">
        <w:rPr>
          <w:rFonts w:ascii="Arial" w:hAnsi="Arial" w:cs="Arial"/>
          <w:sz w:val="22"/>
          <w:szCs w:val="22"/>
        </w:rPr>
        <w:t xml:space="preserve"> </w:t>
      </w:r>
      <w:r w:rsidRPr="00211A50" w:rsidR="004A5972">
        <w:rPr>
          <w:rFonts w:ascii="Arial" w:hAnsi="Arial" w:cs="Arial"/>
          <w:sz w:val="22"/>
          <w:szCs w:val="22"/>
        </w:rPr>
        <w:t xml:space="preserve">Regression analysis </w:t>
      </w:r>
      <w:r w:rsidRPr="00211A50" w:rsidR="00537476">
        <w:rPr>
          <w:rFonts w:ascii="Arial" w:hAnsi="Arial" w:cs="Arial"/>
          <w:sz w:val="22"/>
          <w:szCs w:val="22"/>
        </w:rPr>
        <w:t>will be used</w:t>
      </w:r>
      <w:r w:rsidRPr="00211A50" w:rsidR="00552B88">
        <w:rPr>
          <w:rFonts w:ascii="Arial" w:hAnsi="Arial" w:cs="Arial"/>
          <w:sz w:val="22"/>
          <w:szCs w:val="22"/>
        </w:rPr>
        <w:t xml:space="preserve"> to determine if the methods</w:t>
      </w:r>
      <w:r w:rsidRPr="00211A50" w:rsidR="009C5CF9">
        <w:rPr>
          <w:rFonts w:ascii="Arial" w:hAnsi="Arial" w:cs="Arial"/>
          <w:sz w:val="22"/>
          <w:szCs w:val="22"/>
        </w:rPr>
        <w:t xml:space="preserve"> are accurate</w:t>
      </w:r>
      <w:r w:rsidRPr="00211A50" w:rsidR="00537476">
        <w:rPr>
          <w:rFonts w:ascii="Arial" w:hAnsi="Arial" w:cs="Arial"/>
          <w:sz w:val="22"/>
          <w:szCs w:val="22"/>
        </w:rPr>
        <w:t xml:space="preserve"> within the TEa as follows:</w:t>
      </w:r>
    </w:p>
    <w:p w:rsidR="004A5972" w:rsidRPr="00211A50" w:rsidP="00F14803" w14:paraId="7A0E77B1" w14:textId="77777777">
      <w:pPr>
        <w:numPr>
          <w:ilvl w:val="1"/>
          <w:numId w:val="25"/>
        </w:numPr>
        <w:spacing w:line="276" w:lineRule="auto"/>
        <w:rPr>
          <w:rFonts w:ascii="Arial" w:hAnsi="Arial" w:cs="Arial"/>
          <w:b/>
          <w:sz w:val="22"/>
          <w:szCs w:val="22"/>
        </w:rPr>
      </w:pPr>
      <w:r w:rsidRPr="00211A50">
        <w:rPr>
          <w:rFonts w:ascii="Arial" w:hAnsi="Arial" w:cs="Arial"/>
          <w:sz w:val="22"/>
          <w:szCs w:val="22"/>
        </w:rPr>
        <w:t>Correlation coefficient (R)</w:t>
      </w:r>
      <w:r w:rsidRPr="00211A50" w:rsidR="009B2B70">
        <w:rPr>
          <w:rFonts w:ascii="Arial" w:hAnsi="Arial" w:cs="Arial"/>
          <w:sz w:val="22"/>
          <w:szCs w:val="22"/>
        </w:rPr>
        <w:t xml:space="preserve"> must be</w:t>
      </w:r>
      <w:r w:rsidRPr="00211A50">
        <w:rPr>
          <w:rFonts w:ascii="Arial" w:hAnsi="Arial" w:cs="Arial"/>
          <w:sz w:val="22"/>
          <w:szCs w:val="22"/>
        </w:rPr>
        <w:t xml:space="preserve"> </w:t>
      </w:r>
      <w:r w:rsidRPr="00211A50">
        <w:rPr>
          <w:rFonts w:ascii="Arial" w:hAnsi="Arial" w:cs="Arial"/>
          <w:sz w:val="22"/>
          <w:szCs w:val="22"/>
        </w:rPr>
        <w:t>&gt;0.975</w:t>
      </w:r>
    </w:p>
    <w:p w:rsidR="004A5972" w:rsidRPr="00211A50" w:rsidP="00F14803" w14:paraId="1812BB70" w14:textId="77777777">
      <w:pPr>
        <w:numPr>
          <w:ilvl w:val="1"/>
          <w:numId w:val="25"/>
        </w:numPr>
        <w:spacing w:line="276" w:lineRule="auto"/>
        <w:rPr>
          <w:rFonts w:ascii="Arial" w:hAnsi="Arial" w:cs="Arial"/>
          <w:b/>
          <w:sz w:val="22"/>
          <w:szCs w:val="22"/>
        </w:rPr>
      </w:pPr>
      <w:r w:rsidRPr="00211A50">
        <w:rPr>
          <w:rFonts w:ascii="Arial" w:hAnsi="Arial" w:cs="Arial"/>
          <w:sz w:val="22"/>
          <w:szCs w:val="22"/>
        </w:rPr>
        <w:t>A statistic called the “Error Index” will be used to measure the difference between the two methods as a ratio of the Total Allowable Error. This Error Index can be calculated by subtracting the reference method data point (X) from the method being validated data point (Y) and dividing by the Total Allowable Error (TEa). The equation is: (Y-X)/TEa</w:t>
      </w:r>
    </w:p>
    <w:p w:rsidR="00B61182" w:rsidRPr="00211A50" w:rsidP="00F14803" w14:paraId="21AD6E2A" w14:textId="77777777">
      <w:pPr>
        <w:numPr>
          <w:ilvl w:val="1"/>
          <w:numId w:val="25"/>
        </w:numPr>
        <w:spacing w:line="276" w:lineRule="auto"/>
        <w:rPr>
          <w:rFonts w:ascii="Arial" w:hAnsi="Arial" w:cs="Arial"/>
          <w:b/>
          <w:sz w:val="22"/>
          <w:szCs w:val="22"/>
        </w:rPr>
      </w:pPr>
      <w:r w:rsidRPr="00211A50">
        <w:rPr>
          <w:rFonts w:ascii="Arial" w:hAnsi="Arial" w:cs="Arial"/>
          <w:sz w:val="22"/>
          <w:szCs w:val="22"/>
        </w:rPr>
        <w:t>The Error Index is measured for each X-Y pair, and must fall within -1 and 1. If more than 5% of the specimens have an Error Index of less than -1 or greater than 1, the accuracy experiment fails.</w:t>
      </w:r>
    </w:p>
    <w:p w:rsidR="00FC7353" w:rsidRPr="00211A50" w:rsidP="00211A50" w14:paraId="1567F6C2" w14:textId="77777777">
      <w:pPr>
        <w:spacing w:line="276" w:lineRule="auto"/>
        <w:ind w:left="2160"/>
        <w:rPr>
          <w:rFonts w:ascii="Arial" w:hAnsi="Arial" w:cs="Arial"/>
          <w:b/>
          <w:sz w:val="22"/>
          <w:szCs w:val="22"/>
        </w:rPr>
      </w:pPr>
    </w:p>
    <w:p w:rsidR="00AE72FE" w:rsidRPr="00211A50" w:rsidP="00211A50" w14:paraId="50723E7A" w14:textId="77777777">
      <w:pPr>
        <w:numPr>
          <w:ilvl w:val="0"/>
          <w:numId w:val="20"/>
        </w:numPr>
        <w:spacing w:line="276" w:lineRule="auto"/>
        <w:rPr>
          <w:rFonts w:ascii="Arial" w:hAnsi="Arial" w:cs="Arial"/>
          <w:b/>
          <w:sz w:val="22"/>
          <w:szCs w:val="22"/>
        </w:rPr>
      </w:pPr>
      <w:r w:rsidRPr="00211A50">
        <w:rPr>
          <w:rFonts w:ascii="Arial" w:hAnsi="Arial" w:cs="Arial"/>
          <w:b/>
          <w:sz w:val="22"/>
          <w:szCs w:val="22"/>
        </w:rPr>
        <w:t>Linearity</w:t>
      </w:r>
    </w:p>
    <w:p w:rsidR="00F0178B" w:rsidRPr="00211A50" w:rsidP="00C47681" w14:paraId="49D3AB88" w14:textId="77777777">
      <w:pPr>
        <w:numPr>
          <w:ilvl w:val="0"/>
          <w:numId w:val="5"/>
        </w:numPr>
        <w:autoSpaceDE w:val="0"/>
        <w:autoSpaceDN w:val="0"/>
        <w:adjustRightInd w:val="0"/>
        <w:spacing w:line="276" w:lineRule="auto"/>
        <w:rPr>
          <w:rFonts w:ascii="Arial" w:hAnsi="Arial" w:cs="Arial"/>
          <w:sz w:val="22"/>
          <w:szCs w:val="22"/>
        </w:rPr>
      </w:pPr>
      <w:r w:rsidRPr="00211A50">
        <w:rPr>
          <w:rFonts w:ascii="Arial" w:hAnsi="Arial" w:cs="Arial"/>
          <w:sz w:val="22"/>
          <w:szCs w:val="22"/>
        </w:rPr>
        <w:t xml:space="preserve">A quantitative analytical method is said to be </w:t>
      </w:r>
      <w:r w:rsidR="00C47681">
        <w:rPr>
          <w:rFonts w:ascii="Arial" w:hAnsi="Arial" w:cs="Arial"/>
          <w:sz w:val="22"/>
          <w:szCs w:val="22"/>
        </w:rPr>
        <w:t>linear</w:t>
      </w:r>
      <w:r w:rsidRPr="00211A50">
        <w:rPr>
          <w:rFonts w:ascii="Arial" w:hAnsi="Arial" w:cs="Arial"/>
          <w:sz w:val="22"/>
          <w:szCs w:val="22"/>
        </w:rPr>
        <w:t xml:space="preserve"> when measured results from a series of sample solutions are directly proportional to the concentration or activity in the test specimens. This means that a straight line can be used to characterize the relationship between measured results and the concentrations or activity levels of an analyte for some stated range of analyte values.</w:t>
      </w:r>
      <w:r w:rsidRPr="00211A50" w:rsidR="00386A86">
        <w:rPr>
          <w:rFonts w:ascii="Arial" w:hAnsi="Arial" w:cs="Arial"/>
          <w:color w:val="0070C0"/>
          <w:sz w:val="22"/>
          <w:szCs w:val="22"/>
        </w:rPr>
        <w:t xml:space="preserve"> </w:t>
      </w:r>
      <w:r w:rsidRPr="00211A50" w:rsidR="00386A86">
        <w:rPr>
          <w:rFonts w:ascii="Arial" w:hAnsi="Arial" w:cs="Arial"/>
          <w:sz w:val="22"/>
          <w:szCs w:val="22"/>
        </w:rPr>
        <w:t>Linearity will be tested on measured analytes only.</w:t>
      </w:r>
    </w:p>
    <w:p w:rsidR="00D2026F" w:rsidRPr="00211A50" w:rsidP="00C47681" w14:paraId="586858BF" w14:textId="12858619">
      <w:pPr>
        <w:numPr>
          <w:ilvl w:val="0"/>
          <w:numId w:val="5"/>
        </w:numPr>
        <w:autoSpaceDE w:val="0"/>
        <w:autoSpaceDN w:val="0"/>
        <w:adjustRightInd w:val="0"/>
        <w:spacing w:line="276" w:lineRule="auto"/>
        <w:rPr>
          <w:rFonts w:ascii="Arial" w:hAnsi="Arial" w:cs="Arial"/>
          <w:sz w:val="22"/>
          <w:szCs w:val="22"/>
        </w:rPr>
      </w:pPr>
      <w:r w:rsidRPr="00211A50">
        <w:rPr>
          <w:rFonts w:ascii="Arial" w:hAnsi="Arial" w:cs="Arial"/>
          <w:sz w:val="22"/>
          <w:szCs w:val="22"/>
        </w:rPr>
        <w:t xml:space="preserve">Linearity verification will be determined using the </w:t>
      </w:r>
      <w:r w:rsidRPr="00211A50" w:rsidR="00792312">
        <w:rPr>
          <w:rFonts w:ascii="Arial" w:hAnsi="Arial" w:cs="Arial"/>
          <w:color w:val="4472C4"/>
          <w:sz w:val="22"/>
          <w:szCs w:val="22"/>
        </w:rPr>
        <w:t>(</w:t>
      </w:r>
      <w:r w:rsidRPr="00211A50" w:rsidR="00744DE1">
        <w:rPr>
          <w:rFonts w:ascii="Arial" w:hAnsi="Arial" w:cs="Arial"/>
          <w:color w:val="4472C4"/>
          <w:sz w:val="22"/>
          <w:szCs w:val="22"/>
        </w:rPr>
        <w:t xml:space="preserve">insert provider and </w:t>
      </w:r>
      <w:r w:rsidR="00A17AD4">
        <w:rPr>
          <w:rFonts w:ascii="Arial" w:hAnsi="Arial" w:cs="Arial"/>
          <w:color w:val="4472C4"/>
          <w:sz w:val="22"/>
          <w:szCs w:val="22"/>
        </w:rPr>
        <w:t xml:space="preserve">product </w:t>
      </w:r>
      <w:r w:rsidRPr="00211A50" w:rsidR="00744DE1">
        <w:rPr>
          <w:rFonts w:ascii="Arial" w:hAnsi="Arial" w:cs="Arial"/>
          <w:color w:val="4472C4"/>
          <w:sz w:val="22"/>
          <w:szCs w:val="22"/>
        </w:rPr>
        <w:t>name</w:t>
      </w:r>
      <w:r w:rsidRPr="00211A50" w:rsidR="00792312">
        <w:rPr>
          <w:rFonts w:ascii="Arial" w:hAnsi="Arial" w:cs="Arial"/>
          <w:color w:val="4472C4"/>
          <w:sz w:val="22"/>
          <w:szCs w:val="22"/>
        </w:rPr>
        <w:t>)</w:t>
      </w:r>
      <w:r w:rsidRPr="00211A50" w:rsidR="00792312">
        <w:rPr>
          <w:rFonts w:ascii="Arial" w:hAnsi="Arial" w:cs="Arial"/>
          <w:sz w:val="22"/>
          <w:szCs w:val="22"/>
        </w:rPr>
        <w:t xml:space="preserve"> </w:t>
      </w:r>
      <w:r w:rsidRPr="00211A50">
        <w:rPr>
          <w:rFonts w:ascii="Arial" w:hAnsi="Arial" w:cs="Arial"/>
          <w:sz w:val="22"/>
          <w:szCs w:val="22"/>
        </w:rPr>
        <w:t xml:space="preserve">samples. </w:t>
      </w:r>
    </w:p>
    <w:p w:rsidR="00AE72FE" w:rsidRPr="00211A50" w:rsidP="00C47681" w14:paraId="36217725" w14:textId="77777777">
      <w:pPr>
        <w:numPr>
          <w:ilvl w:val="0"/>
          <w:numId w:val="26"/>
        </w:numPr>
        <w:tabs>
          <w:tab w:val="left" w:pos="1080"/>
        </w:tabs>
        <w:spacing w:line="276" w:lineRule="auto"/>
        <w:rPr>
          <w:rFonts w:ascii="Arial" w:hAnsi="Arial" w:cs="Arial"/>
          <w:sz w:val="22"/>
          <w:szCs w:val="22"/>
        </w:rPr>
      </w:pPr>
      <w:r w:rsidRPr="00211A50">
        <w:rPr>
          <w:rFonts w:ascii="Arial" w:hAnsi="Arial" w:cs="Arial"/>
          <w:sz w:val="22"/>
          <w:szCs w:val="22"/>
        </w:rPr>
        <w:t>At a minimum, samples will be run in duplicate.</w:t>
      </w:r>
    </w:p>
    <w:p w:rsidR="00D2026F" w:rsidRPr="00211A50" w:rsidP="00C47681" w14:paraId="3CE4A587" w14:textId="77777777">
      <w:pPr>
        <w:numPr>
          <w:ilvl w:val="0"/>
          <w:numId w:val="26"/>
        </w:numPr>
        <w:tabs>
          <w:tab w:val="left" w:pos="1080"/>
        </w:tabs>
        <w:spacing w:line="276" w:lineRule="auto"/>
        <w:rPr>
          <w:rFonts w:ascii="Arial" w:hAnsi="Arial" w:cs="Arial"/>
          <w:sz w:val="22"/>
          <w:szCs w:val="22"/>
        </w:rPr>
      </w:pPr>
      <w:r w:rsidRPr="00211A50">
        <w:rPr>
          <w:rFonts w:ascii="Arial" w:hAnsi="Arial" w:cs="Arial"/>
          <w:sz w:val="22"/>
          <w:szCs w:val="22"/>
        </w:rPr>
        <w:t>Known values of the standards will be plotted on the X-axis and the mean of the measured values will be plotted on the Y-axis.</w:t>
      </w:r>
    </w:p>
    <w:p w:rsidR="00D2026F" w:rsidRPr="00211A50" w:rsidP="00C47681" w14:paraId="2AAEF2C7" w14:textId="77777777">
      <w:pPr>
        <w:numPr>
          <w:ilvl w:val="0"/>
          <w:numId w:val="26"/>
        </w:numPr>
        <w:tabs>
          <w:tab w:val="left" w:pos="1080"/>
        </w:tabs>
        <w:spacing w:line="276" w:lineRule="auto"/>
        <w:rPr>
          <w:rFonts w:ascii="Arial" w:hAnsi="Arial" w:cs="Arial"/>
          <w:sz w:val="22"/>
          <w:szCs w:val="22"/>
        </w:rPr>
      </w:pPr>
      <w:r w:rsidRPr="00211A50">
        <w:rPr>
          <w:rFonts w:ascii="Arial" w:hAnsi="Arial" w:cs="Arial"/>
          <w:sz w:val="22"/>
          <w:szCs w:val="22"/>
        </w:rPr>
        <w:t>Slope and intercept will be calculated.</w:t>
      </w:r>
    </w:p>
    <w:p w:rsidR="00D2026F" w:rsidRPr="00211A50" w:rsidP="00C47681" w14:paraId="14A481C1" w14:textId="77777777">
      <w:pPr>
        <w:numPr>
          <w:ilvl w:val="0"/>
          <w:numId w:val="26"/>
        </w:numPr>
        <w:tabs>
          <w:tab w:val="left" w:pos="1080"/>
        </w:tabs>
        <w:spacing w:line="276" w:lineRule="auto"/>
        <w:rPr>
          <w:rFonts w:ascii="Arial" w:hAnsi="Arial" w:cs="Arial"/>
          <w:sz w:val="22"/>
          <w:szCs w:val="22"/>
        </w:rPr>
      </w:pPr>
      <w:r w:rsidRPr="00211A50">
        <w:rPr>
          <w:rFonts w:ascii="Arial" w:hAnsi="Arial" w:cs="Arial"/>
          <w:sz w:val="22"/>
          <w:szCs w:val="22"/>
        </w:rPr>
        <w:t>A predicted Y value will be calculated for each X value.</w:t>
      </w:r>
    </w:p>
    <w:p w:rsidR="00D2026F" w:rsidRPr="00211A50" w:rsidP="00C47681" w14:paraId="06128B34" w14:textId="77777777">
      <w:pPr>
        <w:numPr>
          <w:ilvl w:val="0"/>
          <w:numId w:val="26"/>
        </w:numPr>
        <w:tabs>
          <w:tab w:val="left" w:pos="1080"/>
        </w:tabs>
        <w:spacing w:line="276" w:lineRule="auto"/>
        <w:rPr>
          <w:rFonts w:ascii="Arial" w:hAnsi="Arial" w:cs="Arial"/>
          <w:sz w:val="22"/>
          <w:szCs w:val="22"/>
        </w:rPr>
      </w:pPr>
      <w:r w:rsidRPr="00211A50">
        <w:rPr>
          <w:rFonts w:ascii="Arial" w:hAnsi="Arial" w:cs="Arial"/>
          <w:sz w:val="22"/>
          <w:szCs w:val="22"/>
        </w:rPr>
        <w:t>Predicted Y values will be plotted versus the corresponding known X values.  A straight line will be drawn to connect the predicted Y points on the graph.</w:t>
      </w:r>
    </w:p>
    <w:p w:rsidR="008F6BAD" w:rsidRPr="00211A50" w:rsidP="00C47681" w14:paraId="10730550" w14:textId="77777777">
      <w:pPr>
        <w:numPr>
          <w:ilvl w:val="0"/>
          <w:numId w:val="26"/>
        </w:numPr>
        <w:tabs>
          <w:tab w:val="left" w:pos="1080"/>
        </w:tabs>
        <w:spacing w:line="276" w:lineRule="auto"/>
        <w:rPr>
          <w:rFonts w:ascii="Arial" w:hAnsi="Arial" w:cs="Arial"/>
          <w:sz w:val="22"/>
          <w:szCs w:val="22"/>
        </w:rPr>
      </w:pPr>
      <w:r w:rsidRPr="00211A50">
        <w:rPr>
          <w:rFonts w:ascii="Arial" w:hAnsi="Arial" w:cs="Arial"/>
          <w:sz w:val="22"/>
          <w:szCs w:val="22"/>
        </w:rPr>
        <w:t>Measured Y values will be subtracted from the associated predicted Y value.  This difference is the systematic error due to non-linearity.</w:t>
      </w:r>
    </w:p>
    <w:p w:rsidR="008F6BAD" w:rsidRPr="00211A50" w:rsidP="00C47681" w14:paraId="279F831D" w14:textId="77777777">
      <w:pPr>
        <w:numPr>
          <w:ilvl w:val="0"/>
          <w:numId w:val="26"/>
        </w:numPr>
        <w:tabs>
          <w:tab w:val="left" w:pos="1080"/>
        </w:tabs>
        <w:spacing w:line="276" w:lineRule="auto"/>
        <w:rPr>
          <w:rFonts w:ascii="Arial" w:hAnsi="Arial" w:cs="Arial"/>
          <w:sz w:val="22"/>
          <w:szCs w:val="22"/>
        </w:rPr>
      </w:pPr>
      <w:r w:rsidRPr="00211A50">
        <w:rPr>
          <w:rFonts w:ascii="Arial" w:hAnsi="Arial" w:cs="Arial"/>
          <w:sz w:val="22"/>
          <w:szCs w:val="22"/>
        </w:rPr>
        <w:t>Systematic error will be compared to 50% of the total error.</w:t>
      </w:r>
    </w:p>
    <w:p w:rsidR="00AE72FE" w:rsidRPr="00C47681" w:rsidP="00C47681" w14:paraId="2D75BA17" w14:textId="77777777">
      <w:pPr>
        <w:pStyle w:val="ListParagraph"/>
        <w:numPr>
          <w:ilvl w:val="0"/>
          <w:numId w:val="28"/>
        </w:numPr>
        <w:tabs>
          <w:tab w:val="left" w:pos="1080"/>
        </w:tabs>
        <w:spacing w:line="276" w:lineRule="auto"/>
        <w:rPr>
          <w:rFonts w:ascii="Arial" w:hAnsi="Arial" w:cs="Arial"/>
          <w:sz w:val="22"/>
          <w:szCs w:val="22"/>
        </w:rPr>
      </w:pPr>
      <w:r w:rsidRPr="00C47681">
        <w:rPr>
          <w:rFonts w:ascii="Arial" w:hAnsi="Arial" w:cs="Arial"/>
          <w:sz w:val="22"/>
          <w:szCs w:val="22"/>
        </w:rPr>
        <w:t xml:space="preserve">Acceptability criteria: </w:t>
      </w:r>
    </w:p>
    <w:p w:rsidR="008F6BAD" w:rsidRPr="00211A50" w:rsidP="00C47681" w14:paraId="1870D3EF" w14:textId="77777777">
      <w:pPr>
        <w:pStyle w:val="ListParagraph"/>
        <w:numPr>
          <w:ilvl w:val="0"/>
          <w:numId w:val="27"/>
        </w:numPr>
        <w:spacing w:after="200" w:line="276" w:lineRule="auto"/>
        <w:contextualSpacing/>
        <w:rPr>
          <w:rFonts w:ascii="Arial" w:hAnsi="Arial" w:cs="Arial"/>
          <w:sz w:val="22"/>
          <w:szCs w:val="22"/>
        </w:rPr>
      </w:pPr>
      <w:r w:rsidRPr="00211A50">
        <w:rPr>
          <w:rFonts w:ascii="Arial" w:hAnsi="Arial" w:cs="Arial"/>
          <w:sz w:val="22"/>
          <w:szCs w:val="22"/>
        </w:rPr>
        <w:t>The method is linear if the difference between the predicted Y value and the measured Y value is less than the allowable error for each specimen point.</w:t>
      </w:r>
    </w:p>
    <w:p w:rsidR="00AE72FE" w:rsidRPr="00211A50" w:rsidP="00C47681" w14:paraId="3B7F278E" w14:textId="77777777">
      <w:pPr>
        <w:pStyle w:val="ListParagraph"/>
        <w:numPr>
          <w:ilvl w:val="0"/>
          <w:numId w:val="27"/>
        </w:numPr>
        <w:spacing w:after="200" w:line="276" w:lineRule="auto"/>
        <w:contextualSpacing/>
        <w:rPr>
          <w:rFonts w:ascii="Arial" w:hAnsi="Arial" w:cs="Arial"/>
          <w:sz w:val="22"/>
          <w:szCs w:val="22"/>
        </w:rPr>
      </w:pPr>
      <w:r w:rsidRPr="00211A50">
        <w:rPr>
          <w:rFonts w:ascii="Arial" w:hAnsi="Arial" w:cs="Arial"/>
          <w:sz w:val="22"/>
          <w:szCs w:val="22"/>
        </w:rPr>
        <w:t>The systematic error must be less than 50% of the total error.</w:t>
      </w:r>
    </w:p>
    <w:p w:rsidR="002356F2" w:rsidRPr="00211A50" w:rsidP="00211A50" w14:paraId="181D411D" w14:textId="77777777">
      <w:pPr>
        <w:numPr>
          <w:ilvl w:val="0"/>
          <w:numId w:val="20"/>
        </w:numPr>
        <w:spacing w:line="276" w:lineRule="auto"/>
        <w:rPr>
          <w:rFonts w:ascii="Arial" w:hAnsi="Arial" w:cs="Arial"/>
          <w:b/>
          <w:sz w:val="22"/>
          <w:szCs w:val="22"/>
        </w:rPr>
      </w:pPr>
      <w:r w:rsidRPr="00FD5457">
        <w:rPr>
          <w:rFonts w:ascii="Arial" w:hAnsi="Arial" w:cs="Arial"/>
          <w:b/>
          <w:sz w:val="22"/>
          <w:szCs w:val="22"/>
        </w:rPr>
        <w:t>Analytic Measurement Range and Clinical Reportable Range</w:t>
      </w:r>
    </w:p>
    <w:p w:rsidR="003158E5" w:rsidRPr="00211A50" w:rsidP="00C47681" w14:paraId="3557B6CC" w14:textId="77777777">
      <w:pPr>
        <w:numPr>
          <w:ilvl w:val="0"/>
          <w:numId w:val="29"/>
        </w:numPr>
        <w:autoSpaceDE w:val="0"/>
        <w:autoSpaceDN w:val="0"/>
        <w:adjustRightInd w:val="0"/>
        <w:spacing w:line="276" w:lineRule="auto"/>
        <w:rPr>
          <w:rFonts w:ascii="Arial" w:hAnsi="Arial" w:cs="Arial"/>
          <w:b/>
          <w:sz w:val="22"/>
          <w:szCs w:val="22"/>
        </w:rPr>
      </w:pPr>
      <w:r w:rsidRPr="00211A50">
        <w:rPr>
          <w:rFonts w:ascii="Arial" w:hAnsi="Arial" w:cs="Arial"/>
          <w:sz w:val="22"/>
          <w:szCs w:val="22"/>
        </w:rPr>
        <w:t xml:space="preserve">The </w:t>
      </w:r>
      <w:r w:rsidRPr="00211A50">
        <w:rPr>
          <w:rFonts w:ascii="Arial" w:hAnsi="Arial" w:cs="Arial"/>
          <w:b/>
          <w:sz w:val="22"/>
          <w:szCs w:val="22"/>
        </w:rPr>
        <w:t>A</w:t>
      </w:r>
      <w:r w:rsidR="00C47681">
        <w:rPr>
          <w:rFonts w:ascii="Arial" w:hAnsi="Arial" w:cs="Arial"/>
          <w:b/>
          <w:sz w:val="22"/>
          <w:szCs w:val="22"/>
        </w:rPr>
        <w:t>nalytic</w:t>
      </w:r>
      <w:r w:rsidRPr="00211A50">
        <w:rPr>
          <w:rFonts w:ascii="Arial" w:hAnsi="Arial" w:cs="Arial"/>
          <w:b/>
          <w:sz w:val="22"/>
          <w:szCs w:val="22"/>
        </w:rPr>
        <w:t xml:space="preserve"> M</w:t>
      </w:r>
      <w:r w:rsidR="00C47681">
        <w:rPr>
          <w:rFonts w:ascii="Arial" w:hAnsi="Arial" w:cs="Arial"/>
          <w:b/>
          <w:sz w:val="22"/>
          <w:szCs w:val="22"/>
        </w:rPr>
        <w:t>easurement</w:t>
      </w:r>
      <w:r w:rsidRPr="00211A50">
        <w:rPr>
          <w:rFonts w:ascii="Arial" w:hAnsi="Arial" w:cs="Arial"/>
          <w:b/>
          <w:sz w:val="22"/>
          <w:szCs w:val="22"/>
        </w:rPr>
        <w:t xml:space="preserve"> R</w:t>
      </w:r>
      <w:r w:rsidR="00C47681">
        <w:rPr>
          <w:rFonts w:ascii="Arial" w:hAnsi="Arial" w:cs="Arial"/>
          <w:b/>
          <w:sz w:val="22"/>
          <w:szCs w:val="22"/>
        </w:rPr>
        <w:t>ange</w:t>
      </w:r>
      <w:r w:rsidRPr="00211A50">
        <w:rPr>
          <w:rFonts w:ascii="Arial" w:hAnsi="Arial" w:cs="Arial"/>
          <w:b/>
          <w:sz w:val="22"/>
          <w:szCs w:val="22"/>
        </w:rPr>
        <w:t xml:space="preserve"> (AMR)</w:t>
      </w:r>
      <w:r w:rsidRPr="00211A50">
        <w:rPr>
          <w:rFonts w:ascii="Arial" w:hAnsi="Arial" w:cs="Arial"/>
          <w:sz w:val="22"/>
          <w:szCs w:val="22"/>
        </w:rPr>
        <w:t xml:space="preserve"> is the range of analyte values that a method can directly measure on the specimen without any dilution, concentration, or other pretreatment not part of the usual assay process. AMR validation is the process of confirming that the assay system will correctly recover the concentration or activity of the analyte over the AMR. </w:t>
      </w:r>
      <w:r w:rsidRPr="00211A50" w:rsidR="00386A86">
        <w:rPr>
          <w:rFonts w:ascii="Arial" w:hAnsi="Arial" w:cs="Arial"/>
          <w:sz w:val="22"/>
          <w:szCs w:val="22"/>
        </w:rPr>
        <w:t>Reportable range will be verified on measured analytes only.</w:t>
      </w:r>
    </w:p>
    <w:p w:rsidR="00650106" w:rsidRPr="00211A50" w:rsidP="00C47681" w14:paraId="010C91F8" w14:textId="5761B3A3">
      <w:pPr>
        <w:numPr>
          <w:ilvl w:val="0"/>
          <w:numId w:val="29"/>
        </w:numPr>
        <w:spacing w:line="276" w:lineRule="auto"/>
        <w:rPr>
          <w:rFonts w:ascii="Arial" w:hAnsi="Arial" w:cs="Arial"/>
          <w:b/>
          <w:sz w:val="22"/>
          <w:szCs w:val="22"/>
        </w:rPr>
      </w:pPr>
      <w:r w:rsidRPr="00211A50">
        <w:rPr>
          <w:rFonts w:ascii="Arial" w:hAnsi="Arial" w:cs="Arial"/>
          <w:sz w:val="22"/>
          <w:szCs w:val="22"/>
        </w:rPr>
        <w:t xml:space="preserve">The </w:t>
      </w:r>
      <w:r w:rsidR="00C47681">
        <w:rPr>
          <w:rFonts w:ascii="Arial" w:hAnsi="Arial" w:cs="Arial"/>
          <w:b/>
          <w:sz w:val="22"/>
          <w:szCs w:val="22"/>
        </w:rPr>
        <w:t>Clincal Reportable Range</w:t>
      </w:r>
      <w:r w:rsidRPr="00211A50">
        <w:rPr>
          <w:rFonts w:ascii="Arial" w:hAnsi="Arial" w:cs="Arial"/>
          <w:b/>
          <w:sz w:val="22"/>
          <w:szCs w:val="22"/>
        </w:rPr>
        <w:t xml:space="preserve"> (CRR</w:t>
      </w:r>
      <w:r w:rsidRPr="00211A50">
        <w:rPr>
          <w:rFonts w:ascii="Arial" w:hAnsi="Arial" w:cs="Arial"/>
          <w:sz w:val="22"/>
          <w:szCs w:val="22"/>
        </w:rPr>
        <w:t>) is the range of analyte values that a method can</w:t>
      </w:r>
      <w:r w:rsidRPr="00211A50">
        <w:rPr>
          <w:rFonts w:ascii="Arial" w:hAnsi="Arial" w:cs="Arial"/>
          <w:color w:val="000000"/>
          <w:sz w:val="22"/>
          <w:szCs w:val="22"/>
        </w:rPr>
        <w:t xml:space="preserve"> report as a quantitative </w:t>
      </w:r>
      <w:r w:rsidRPr="00211A50">
        <w:rPr>
          <w:rFonts w:ascii="Arial" w:hAnsi="Arial" w:cs="Arial"/>
          <w:sz w:val="22"/>
          <w:szCs w:val="22"/>
        </w:rPr>
        <w:t>result, allowing for specimen dilution, concentration or other pretreatment used to extend the direct AMR. The laboratory should establish a CRR that covers a range inclusive of</w:t>
      </w:r>
      <w:r w:rsidRPr="00211A50">
        <w:rPr>
          <w:rFonts w:ascii="Arial" w:hAnsi="Arial" w:cs="Arial"/>
          <w:color w:val="FF0000"/>
          <w:sz w:val="22"/>
          <w:szCs w:val="22"/>
        </w:rPr>
        <w:t xml:space="preserve"> </w:t>
      </w:r>
      <w:r w:rsidRPr="00211A50">
        <w:rPr>
          <w:rFonts w:ascii="Arial" w:hAnsi="Arial" w:cs="Arial"/>
          <w:sz w:val="22"/>
          <w:szCs w:val="22"/>
        </w:rPr>
        <w:t>Grade 4 Adverse Events on the DAIDS Toxicity Table</w:t>
      </w:r>
      <w:r w:rsidR="0031516F">
        <w:rPr>
          <w:rFonts w:ascii="Arial" w:hAnsi="Arial" w:cs="Arial"/>
          <w:sz w:val="22"/>
          <w:szCs w:val="22"/>
        </w:rPr>
        <w:t>.</w:t>
      </w:r>
    </w:p>
    <w:p w:rsidR="00650106" w:rsidRPr="00211A50" w:rsidP="00C47681" w14:paraId="5A48931C" w14:textId="77777777">
      <w:pPr>
        <w:numPr>
          <w:ilvl w:val="0"/>
          <w:numId w:val="29"/>
        </w:numPr>
        <w:tabs>
          <w:tab w:val="left" w:pos="1080"/>
        </w:tabs>
        <w:spacing w:line="276" w:lineRule="auto"/>
        <w:rPr>
          <w:rFonts w:ascii="Arial" w:hAnsi="Arial" w:cs="Arial"/>
          <w:sz w:val="22"/>
          <w:szCs w:val="22"/>
        </w:rPr>
      </w:pPr>
      <w:r w:rsidRPr="00211A50">
        <w:rPr>
          <w:rFonts w:ascii="Arial" w:hAnsi="Arial" w:cs="Arial"/>
          <w:sz w:val="22"/>
          <w:szCs w:val="22"/>
        </w:rPr>
        <w:t>R</w:t>
      </w:r>
      <w:r w:rsidRPr="00211A50" w:rsidR="00197A93">
        <w:rPr>
          <w:rFonts w:ascii="Arial" w:hAnsi="Arial" w:cs="Arial"/>
          <w:sz w:val="22"/>
          <w:szCs w:val="22"/>
        </w:rPr>
        <w:t xml:space="preserve">eportable range will </w:t>
      </w:r>
      <w:r w:rsidRPr="00211A50" w:rsidR="00975726">
        <w:rPr>
          <w:rFonts w:ascii="Arial" w:hAnsi="Arial" w:cs="Arial"/>
          <w:sz w:val="22"/>
          <w:szCs w:val="22"/>
        </w:rPr>
        <w:t xml:space="preserve">be determined using the </w:t>
      </w:r>
      <w:r w:rsidRPr="00211A50" w:rsidR="00792312">
        <w:rPr>
          <w:rFonts w:ascii="Arial" w:hAnsi="Arial" w:cs="Arial"/>
          <w:color w:val="4472C4"/>
          <w:sz w:val="22"/>
          <w:szCs w:val="22"/>
        </w:rPr>
        <w:t>(</w:t>
      </w:r>
      <w:r w:rsidRPr="00211A50" w:rsidR="00A37295">
        <w:rPr>
          <w:rFonts w:ascii="Arial" w:hAnsi="Arial" w:cs="Arial"/>
          <w:color w:val="4472C4"/>
          <w:sz w:val="22"/>
          <w:szCs w:val="22"/>
        </w:rPr>
        <w:t xml:space="preserve">insert </w:t>
      </w:r>
      <w:r w:rsidRPr="00211A50" w:rsidR="00744DE1">
        <w:rPr>
          <w:rFonts w:ascii="Arial" w:hAnsi="Arial" w:cs="Arial"/>
          <w:color w:val="4472C4"/>
          <w:sz w:val="22"/>
          <w:szCs w:val="22"/>
        </w:rPr>
        <w:t xml:space="preserve">proficiency </w:t>
      </w:r>
      <w:r w:rsidRPr="00211A50" w:rsidR="00A37295">
        <w:rPr>
          <w:rFonts w:ascii="Arial" w:hAnsi="Arial" w:cs="Arial"/>
          <w:color w:val="4472C4"/>
          <w:sz w:val="22"/>
          <w:szCs w:val="22"/>
        </w:rPr>
        <w:t>provider and survey name</w:t>
      </w:r>
      <w:r w:rsidRPr="00211A50" w:rsidR="00792312">
        <w:rPr>
          <w:rFonts w:ascii="Arial" w:hAnsi="Arial" w:cs="Arial"/>
          <w:color w:val="4472C4"/>
          <w:sz w:val="22"/>
          <w:szCs w:val="22"/>
        </w:rPr>
        <w:t>)</w:t>
      </w:r>
      <w:r w:rsidRPr="00211A50" w:rsidR="00A37295">
        <w:rPr>
          <w:rFonts w:ascii="Arial" w:hAnsi="Arial" w:cs="Arial"/>
          <w:color w:val="4472C4"/>
          <w:sz w:val="22"/>
          <w:szCs w:val="22"/>
        </w:rPr>
        <w:t xml:space="preserve"> </w:t>
      </w:r>
      <w:r w:rsidRPr="00211A50" w:rsidR="00197A93">
        <w:rPr>
          <w:rFonts w:ascii="Arial" w:hAnsi="Arial" w:cs="Arial"/>
          <w:sz w:val="22"/>
          <w:szCs w:val="22"/>
        </w:rPr>
        <w:t>samples.</w:t>
      </w:r>
    </w:p>
    <w:p w:rsidR="003158E5" w:rsidRPr="00211A50" w:rsidP="00C47681" w14:paraId="2D4085F8" w14:textId="77777777">
      <w:pPr>
        <w:numPr>
          <w:ilvl w:val="0"/>
          <w:numId w:val="31"/>
        </w:numPr>
        <w:tabs>
          <w:tab w:val="left" w:pos="1080"/>
        </w:tabs>
        <w:spacing w:line="276" w:lineRule="auto"/>
        <w:rPr>
          <w:rFonts w:ascii="Arial" w:hAnsi="Arial" w:cs="Arial"/>
          <w:sz w:val="22"/>
          <w:szCs w:val="22"/>
        </w:rPr>
      </w:pPr>
      <w:r w:rsidRPr="00211A50">
        <w:rPr>
          <w:rFonts w:ascii="Arial" w:hAnsi="Arial" w:cs="Arial"/>
          <w:sz w:val="22"/>
          <w:szCs w:val="22"/>
        </w:rPr>
        <w:t>At a minimum, samples will be run in duplicate</w:t>
      </w:r>
      <w:r w:rsidRPr="00211A50">
        <w:rPr>
          <w:rFonts w:ascii="Arial" w:hAnsi="Arial" w:cs="Arial"/>
          <w:color w:val="FF0000"/>
          <w:sz w:val="22"/>
          <w:szCs w:val="22"/>
        </w:rPr>
        <w:t>.</w:t>
      </w:r>
    </w:p>
    <w:p w:rsidR="003158E5" w:rsidRPr="00211A50" w:rsidP="00C47681" w14:paraId="1F605682" w14:textId="77777777">
      <w:pPr>
        <w:numPr>
          <w:ilvl w:val="0"/>
          <w:numId w:val="31"/>
        </w:numPr>
        <w:tabs>
          <w:tab w:val="left" w:pos="1080"/>
        </w:tabs>
        <w:spacing w:line="276" w:lineRule="auto"/>
        <w:rPr>
          <w:rFonts w:ascii="Arial" w:hAnsi="Arial" w:cs="Arial"/>
          <w:sz w:val="22"/>
          <w:szCs w:val="22"/>
        </w:rPr>
      </w:pPr>
      <w:r w:rsidRPr="00211A50">
        <w:rPr>
          <w:rFonts w:ascii="Arial" w:hAnsi="Arial" w:cs="Arial"/>
          <w:sz w:val="22"/>
          <w:szCs w:val="22"/>
        </w:rPr>
        <w:t>It may be necessary to dilute the lowest sample to verify the low end of Analytical Measurement Range (AMR).</w:t>
      </w:r>
    </w:p>
    <w:p w:rsidR="003158E5" w:rsidRPr="00211A50" w:rsidP="00C47681" w14:paraId="4DE383C8" w14:textId="77777777">
      <w:pPr>
        <w:numPr>
          <w:ilvl w:val="0"/>
          <w:numId w:val="31"/>
        </w:numPr>
        <w:tabs>
          <w:tab w:val="left" w:pos="1080"/>
        </w:tabs>
        <w:spacing w:line="276" w:lineRule="auto"/>
        <w:rPr>
          <w:rFonts w:ascii="Arial" w:hAnsi="Arial" w:cs="Arial"/>
          <w:sz w:val="22"/>
          <w:szCs w:val="22"/>
        </w:rPr>
      </w:pPr>
      <w:r w:rsidRPr="00211A50">
        <w:rPr>
          <w:rFonts w:ascii="Arial" w:hAnsi="Arial" w:cs="Arial"/>
          <w:sz w:val="22"/>
          <w:szCs w:val="22"/>
        </w:rPr>
        <w:t>The high end of the AMR will only be as high as the highest sample.</w:t>
      </w:r>
    </w:p>
    <w:p w:rsidR="003158E5" w:rsidRPr="00211A50" w:rsidP="00C47681" w14:paraId="2C435F3B" w14:textId="77777777">
      <w:pPr>
        <w:numPr>
          <w:ilvl w:val="0"/>
          <w:numId w:val="31"/>
        </w:numPr>
        <w:tabs>
          <w:tab w:val="left" w:pos="1080"/>
        </w:tabs>
        <w:spacing w:line="276" w:lineRule="auto"/>
        <w:rPr>
          <w:rFonts w:ascii="Arial" w:hAnsi="Arial" w:cs="Arial"/>
          <w:sz w:val="22"/>
          <w:szCs w:val="22"/>
        </w:rPr>
      </w:pPr>
      <w:r w:rsidRPr="00211A50">
        <w:rPr>
          <w:rFonts w:ascii="Arial" w:hAnsi="Arial" w:cs="Arial"/>
          <w:sz w:val="22"/>
          <w:szCs w:val="22"/>
        </w:rPr>
        <w:t xml:space="preserve">The Clinical Reportable Range (CRR) must extend the AMR in order to include grade 4 events of the Division of AIDS Toxicity Table. </w:t>
      </w:r>
    </w:p>
    <w:p w:rsidR="00F8542A" w:rsidRPr="00C47681" w:rsidP="00C47681" w14:paraId="2FA93087" w14:textId="77777777">
      <w:pPr>
        <w:pStyle w:val="ListParagraph"/>
        <w:numPr>
          <w:ilvl w:val="0"/>
          <w:numId w:val="32"/>
        </w:numPr>
        <w:tabs>
          <w:tab w:val="left" w:pos="1080"/>
          <w:tab w:val="left" w:pos="2430"/>
          <w:tab w:val="left" w:pos="3060"/>
        </w:tabs>
        <w:spacing w:line="276" w:lineRule="auto"/>
        <w:rPr>
          <w:rFonts w:ascii="Arial" w:hAnsi="Arial" w:cs="Arial"/>
          <w:sz w:val="22"/>
          <w:szCs w:val="22"/>
        </w:rPr>
      </w:pPr>
      <w:r w:rsidRPr="00C47681">
        <w:rPr>
          <w:rFonts w:ascii="Arial" w:hAnsi="Arial" w:cs="Arial"/>
          <w:sz w:val="22"/>
          <w:szCs w:val="22"/>
        </w:rPr>
        <w:t xml:space="preserve">The lab will </w:t>
      </w:r>
      <w:r w:rsidRPr="00C47681" w:rsidR="003158E5">
        <w:rPr>
          <w:rFonts w:ascii="Arial" w:hAnsi="Arial" w:cs="Arial"/>
          <w:sz w:val="22"/>
          <w:szCs w:val="22"/>
        </w:rPr>
        <w:t>establish what dilutions are necessary to cover this range, bearing in mind that a minimum amount of dilution is ideal since accuracy decreases with increasing dilution</w:t>
      </w:r>
      <w:r w:rsidRPr="00C47681" w:rsidR="003158E5">
        <w:rPr>
          <w:rFonts w:ascii="Arial" w:hAnsi="Arial" w:cs="Arial"/>
        </w:rPr>
        <w:t>.</w:t>
      </w:r>
    </w:p>
    <w:p w:rsidR="00650106" w:rsidRPr="00C47681" w:rsidP="00C47681" w14:paraId="08B77992" w14:textId="77777777">
      <w:pPr>
        <w:pStyle w:val="ListParagraph"/>
        <w:numPr>
          <w:ilvl w:val="0"/>
          <w:numId w:val="32"/>
        </w:numPr>
        <w:tabs>
          <w:tab w:val="left" w:pos="1080"/>
          <w:tab w:val="left" w:pos="2430"/>
          <w:tab w:val="left" w:pos="3060"/>
        </w:tabs>
        <w:spacing w:line="276" w:lineRule="auto"/>
        <w:rPr>
          <w:rFonts w:ascii="Arial" w:hAnsi="Arial" w:cs="Arial"/>
          <w:sz w:val="22"/>
          <w:szCs w:val="22"/>
        </w:rPr>
      </w:pPr>
      <w:r w:rsidRPr="00C47681">
        <w:rPr>
          <w:rFonts w:ascii="Arial" w:hAnsi="Arial" w:cs="Arial"/>
          <w:sz w:val="22"/>
          <w:szCs w:val="22"/>
        </w:rPr>
        <w:t>The laboratory will decide the maximum value of dilution that will be allowed.  Any samples that do not give a numerical value beyond this allowed dilution should be reported as greater than the upper end of the CRR.</w:t>
      </w:r>
    </w:p>
    <w:p w:rsidR="003C0FF4" w:rsidRPr="00C47681" w:rsidP="00C47681" w14:paraId="01BF974E" w14:textId="77777777">
      <w:pPr>
        <w:numPr>
          <w:ilvl w:val="0"/>
          <w:numId w:val="29"/>
        </w:numPr>
        <w:tabs>
          <w:tab w:val="left" w:pos="1080"/>
        </w:tabs>
        <w:spacing w:line="276" w:lineRule="auto"/>
        <w:rPr>
          <w:rFonts w:ascii="Arial" w:hAnsi="Arial" w:cs="Arial"/>
          <w:sz w:val="22"/>
          <w:szCs w:val="22"/>
        </w:rPr>
      </w:pPr>
      <w:r w:rsidRPr="00211A50">
        <w:rPr>
          <w:rFonts w:ascii="Arial" w:hAnsi="Arial" w:cs="Arial"/>
          <w:sz w:val="22"/>
          <w:szCs w:val="22"/>
        </w:rPr>
        <w:t xml:space="preserve">Acceptability criteria: </w:t>
      </w:r>
    </w:p>
    <w:p w:rsidR="00F8542A" w:rsidRPr="00211A50" w:rsidP="00C47681" w14:paraId="2E1C46D5" w14:textId="77777777">
      <w:pPr>
        <w:pStyle w:val="ListParagraph"/>
        <w:numPr>
          <w:ilvl w:val="0"/>
          <w:numId w:val="33"/>
        </w:numPr>
        <w:spacing w:after="200" w:line="276" w:lineRule="auto"/>
        <w:contextualSpacing/>
        <w:rPr>
          <w:rFonts w:ascii="Arial" w:hAnsi="Arial" w:cs="Arial"/>
          <w:sz w:val="22"/>
          <w:szCs w:val="22"/>
        </w:rPr>
      </w:pPr>
      <w:r w:rsidRPr="00211A50">
        <w:rPr>
          <w:rFonts w:ascii="Arial" w:hAnsi="Arial" w:cs="Arial"/>
          <w:sz w:val="22"/>
          <w:szCs w:val="22"/>
        </w:rPr>
        <w:t>The reportable range must be within the manufacturer’s AMR.</w:t>
      </w:r>
    </w:p>
    <w:p w:rsidR="0076083A" w:rsidRPr="00211A50" w:rsidP="00C47681" w14:paraId="0DD61567" w14:textId="77777777">
      <w:pPr>
        <w:pStyle w:val="ListParagraph"/>
        <w:numPr>
          <w:ilvl w:val="0"/>
          <w:numId w:val="33"/>
        </w:numPr>
        <w:spacing w:after="200" w:line="276" w:lineRule="auto"/>
        <w:contextualSpacing/>
        <w:rPr>
          <w:rFonts w:ascii="Arial" w:hAnsi="Arial" w:cs="Arial"/>
          <w:sz w:val="22"/>
          <w:szCs w:val="22"/>
        </w:rPr>
      </w:pPr>
      <w:r w:rsidRPr="00211A50">
        <w:rPr>
          <w:rFonts w:ascii="Arial" w:hAnsi="Arial" w:cs="Arial"/>
          <w:sz w:val="22"/>
          <w:szCs w:val="22"/>
        </w:rPr>
        <w:t xml:space="preserve">The manufacturer’s upper limit will be accepted if the known sample is within </w:t>
      </w:r>
      <w:r w:rsidRPr="00211A50">
        <w:rPr>
          <w:rFonts w:ascii="Arial" w:hAnsi="Arial" w:cs="Arial"/>
          <w:sz w:val="22"/>
          <w:szCs w:val="22"/>
        </w:rPr>
        <w:t xml:space="preserve">percent </w:t>
      </w:r>
      <w:r w:rsidRPr="00211A50">
        <w:rPr>
          <w:rFonts w:ascii="Arial" w:hAnsi="Arial" w:cs="Arial"/>
          <w:sz w:val="22"/>
          <w:szCs w:val="22"/>
        </w:rPr>
        <w:t>TEa of the AMR upper limit.</w:t>
      </w:r>
    </w:p>
    <w:p w:rsidR="009048AA" w:rsidRPr="00C47681" w:rsidP="00C47681" w14:paraId="68FFC77D" w14:textId="77777777">
      <w:pPr>
        <w:pStyle w:val="ListParagraph"/>
        <w:numPr>
          <w:ilvl w:val="0"/>
          <w:numId w:val="33"/>
        </w:numPr>
        <w:spacing w:after="200" w:line="276" w:lineRule="auto"/>
        <w:contextualSpacing/>
        <w:rPr>
          <w:rFonts w:ascii="Arial" w:hAnsi="Arial" w:cs="Arial"/>
          <w:sz w:val="22"/>
          <w:szCs w:val="22"/>
        </w:rPr>
      </w:pPr>
      <w:r w:rsidRPr="00211A50">
        <w:rPr>
          <w:rFonts w:ascii="Arial" w:hAnsi="Arial" w:cs="Arial"/>
          <w:sz w:val="22"/>
          <w:szCs w:val="22"/>
        </w:rPr>
        <w:t xml:space="preserve">The manufacturer’s lower limit will be accepted if the known sample is within the </w:t>
      </w:r>
      <w:r w:rsidRPr="00211A50" w:rsidR="0076083A">
        <w:rPr>
          <w:rFonts w:ascii="Arial" w:hAnsi="Arial" w:cs="Arial"/>
          <w:sz w:val="22"/>
          <w:szCs w:val="22"/>
        </w:rPr>
        <w:t xml:space="preserve">minimum detectable difference or percent TEa of the lower limit (whichever is greater). </w:t>
      </w:r>
    </w:p>
    <w:p w:rsidR="003E0FF8" w:rsidRPr="003E0FF8" w:rsidP="00C47681" w14:paraId="3794F3A8" w14:textId="77777777">
      <w:pPr>
        <w:numPr>
          <w:ilvl w:val="0"/>
          <w:numId w:val="20"/>
        </w:numPr>
        <w:suppressAutoHyphens/>
        <w:autoSpaceDE w:val="0"/>
        <w:spacing w:line="276" w:lineRule="auto"/>
        <w:rPr>
          <w:rFonts w:ascii="Arial" w:hAnsi="Arial" w:cs="Arial"/>
          <w:b/>
          <w:sz w:val="22"/>
          <w:szCs w:val="22"/>
        </w:rPr>
      </w:pPr>
      <w:r>
        <w:rPr>
          <w:rFonts w:ascii="Arial" w:hAnsi="Arial" w:cs="Arial"/>
          <w:b/>
          <w:sz w:val="22"/>
          <w:szCs w:val="22"/>
        </w:rPr>
        <w:t>Analytical Sensitivity</w:t>
      </w:r>
      <w:r>
        <w:rPr>
          <w:rFonts w:ascii="Arial" w:hAnsi="Arial" w:cs="Arial"/>
          <w:sz w:val="22"/>
          <w:szCs w:val="22"/>
        </w:rPr>
        <w:t xml:space="preserve"> is the lowest concentration of an analyte that can be measured (Lower Limit of Detection). </w:t>
      </w:r>
      <w:r>
        <w:rPr>
          <w:rFonts w:ascii="Arial" w:hAnsi="Arial" w:cs="Arial"/>
          <w:b/>
          <w:sz w:val="22"/>
          <w:szCs w:val="22"/>
        </w:rPr>
        <w:t>Analytical Specificity</w:t>
      </w:r>
      <w:r>
        <w:rPr>
          <w:rFonts w:ascii="Arial" w:hAnsi="Arial" w:cs="Arial"/>
          <w:sz w:val="22"/>
          <w:szCs w:val="22"/>
        </w:rPr>
        <w:t xml:space="preserve"> is the determination of the effect of interfering substances. </w:t>
      </w:r>
    </w:p>
    <w:p w:rsidR="00C47681" w:rsidRPr="003E0FF8" w:rsidP="003E0FF8" w14:paraId="6854476D" w14:textId="77777777">
      <w:pPr>
        <w:pStyle w:val="ListParagraph"/>
        <w:numPr>
          <w:ilvl w:val="0"/>
          <w:numId w:val="36"/>
        </w:numPr>
        <w:suppressAutoHyphens/>
        <w:autoSpaceDE w:val="0"/>
        <w:spacing w:line="276" w:lineRule="auto"/>
        <w:rPr>
          <w:rFonts w:ascii="Arial" w:hAnsi="Arial" w:cs="Arial"/>
          <w:b/>
          <w:sz w:val="22"/>
          <w:szCs w:val="22"/>
        </w:rPr>
      </w:pPr>
      <w:r w:rsidRPr="003E0FF8">
        <w:rPr>
          <w:rFonts w:ascii="Arial" w:hAnsi="Arial" w:cs="Arial"/>
          <w:sz w:val="22"/>
          <w:szCs w:val="22"/>
        </w:rPr>
        <w:t>For an FDA approved, unmodified method the manufacturer’s stated analytical sensitivity and specificity will be used.</w:t>
      </w:r>
    </w:p>
    <w:p w:rsidR="003E0FF8" w:rsidRPr="003E0FF8" w:rsidP="003E0FF8" w14:paraId="044500CF" w14:textId="77777777">
      <w:pPr>
        <w:numPr>
          <w:ilvl w:val="0"/>
          <w:numId w:val="35"/>
        </w:numPr>
        <w:spacing w:after="200" w:line="276" w:lineRule="auto"/>
        <w:rPr>
          <w:rFonts w:ascii="Arial" w:hAnsi="Arial" w:cs="Arial"/>
          <w:sz w:val="22"/>
          <w:szCs w:val="22"/>
        </w:rPr>
      </w:pPr>
      <w:r w:rsidRPr="003E0FF8">
        <w:rPr>
          <w:rFonts w:ascii="Arial" w:hAnsi="Arial" w:cs="Arial"/>
          <w:sz w:val="22"/>
          <w:szCs w:val="22"/>
        </w:rPr>
        <w:t>For a non-FDA approved or modified method the laboratory must establish the lowest concentration that the method can accurately measure that is distinguishable from zero</w:t>
      </w:r>
      <w:r>
        <w:rPr>
          <w:rFonts w:ascii="Arial" w:hAnsi="Arial" w:cs="Arial"/>
          <w:sz w:val="22"/>
          <w:szCs w:val="22"/>
        </w:rPr>
        <w:t>, and must</w:t>
      </w:r>
      <w:r w:rsidRPr="003E0FF8">
        <w:rPr>
          <w:rFonts w:ascii="Arial" w:hAnsi="Arial" w:cs="Arial"/>
          <w:sz w:val="22"/>
          <w:szCs w:val="22"/>
        </w:rPr>
        <w:t xml:space="preserve"> determine the effect of interfering substances.  </w:t>
      </w:r>
    </w:p>
    <w:p w:rsidR="003E0FF8" w:rsidP="003E0FF8" w14:paraId="663CC15D" w14:textId="77777777">
      <w:pPr>
        <w:suppressAutoHyphens/>
        <w:autoSpaceDE w:val="0"/>
        <w:spacing w:line="276" w:lineRule="auto"/>
        <w:ind w:left="360"/>
        <w:rPr>
          <w:rFonts w:ascii="Arial" w:hAnsi="Arial" w:cs="Arial"/>
          <w:b/>
          <w:sz w:val="22"/>
          <w:szCs w:val="22"/>
        </w:rPr>
      </w:pPr>
    </w:p>
    <w:p w:rsidR="00A05E80" w:rsidRPr="00211A50" w:rsidP="00211A50" w14:paraId="43D30785" w14:textId="77777777">
      <w:pPr>
        <w:pStyle w:val="ListParagraph"/>
        <w:spacing w:line="276" w:lineRule="auto"/>
        <w:rPr>
          <w:rFonts w:ascii="Arial" w:hAnsi="Arial" w:cs="Arial"/>
          <w:b/>
          <w:sz w:val="22"/>
          <w:szCs w:val="22"/>
        </w:rPr>
      </w:pPr>
    </w:p>
    <w:p w:rsidR="00A05E80" w:rsidRPr="00211A50" w:rsidP="00C47681" w14:paraId="11D44107" w14:textId="77777777">
      <w:pPr>
        <w:numPr>
          <w:ilvl w:val="0"/>
          <w:numId w:val="20"/>
        </w:numPr>
        <w:suppressAutoHyphens/>
        <w:autoSpaceDE w:val="0"/>
        <w:spacing w:line="276" w:lineRule="auto"/>
        <w:rPr>
          <w:rFonts w:ascii="Arial" w:hAnsi="Arial" w:cs="Arial"/>
          <w:b/>
          <w:sz w:val="22"/>
          <w:szCs w:val="22"/>
        </w:rPr>
      </w:pPr>
      <w:r w:rsidRPr="00211A50">
        <w:rPr>
          <w:rFonts w:ascii="Arial" w:hAnsi="Arial" w:cs="Arial"/>
          <w:b/>
          <w:sz w:val="22"/>
          <w:szCs w:val="22"/>
        </w:rPr>
        <w:t xml:space="preserve">Reference Ranges  </w:t>
      </w:r>
    </w:p>
    <w:p w:rsidR="00A05E80" w:rsidRPr="00211A50" w:rsidP="00211A50" w14:paraId="16CF5681" w14:textId="023FF861">
      <w:pPr>
        <w:numPr>
          <w:ilvl w:val="1"/>
          <w:numId w:val="18"/>
        </w:numPr>
        <w:autoSpaceDE w:val="0"/>
        <w:autoSpaceDN w:val="0"/>
        <w:adjustRightInd w:val="0"/>
        <w:spacing w:line="276" w:lineRule="auto"/>
        <w:rPr>
          <w:rFonts w:ascii="Arial" w:hAnsi="Arial" w:cs="Arial"/>
          <w:sz w:val="22"/>
          <w:szCs w:val="22"/>
        </w:rPr>
      </w:pPr>
      <w:r w:rsidRPr="00211A50">
        <w:rPr>
          <w:rFonts w:ascii="Arial" w:hAnsi="Arial" w:cs="Arial"/>
          <w:sz w:val="22"/>
          <w:szCs w:val="22"/>
        </w:rPr>
        <w:t xml:space="preserve">Reference ranges are a measured set of values determined to occur in a healthy non-diseased population. The laboratory must verify that their choice of reference ranges is valid for their study population. </w:t>
      </w:r>
      <w:r w:rsidRPr="00211A50" w:rsidR="00555E73">
        <w:rPr>
          <w:rFonts w:ascii="Arial" w:hAnsi="Arial" w:cs="Arial"/>
          <w:sz w:val="22"/>
          <w:szCs w:val="22"/>
        </w:rPr>
        <w:t>To verify</w:t>
      </w:r>
      <w:r w:rsidRPr="00211A50" w:rsidR="00F1271C">
        <w:rPr>
          <w:rFonts w:ascii="Arial" w:hAnsi="Arial" w:cs="Arial"/>
          <w:sz w:val="22"/>
          <w:szCs w:val="22"/>
        </w:rPr>
        <w:t xml:space="preserve"> or transfer a </w:t>
      </w:r>
      <w:r w:rsidRPr="00211A50">
        <w:rPr>
          <w:rFonts w:ascii="Arial" w:hAnsi="Arial" w:cs="Arial"/>
          <w:sz w:val="22"/>
          <w:szCs w:val="22"/>
        </w:rPr>
        <w:t>published range, the lab</w:t>
      </w:r>
      <w:r w:rsidR="00A17AD4">
        <w:rPr>
          <w:rFonts w:ascii="Arial" w:hAnsi="Arial" w:cs="Arial"/>
          <w:sz w:val="22"/>
          <w:szCs w:val="22"/>
        </w:rPr>
        <w:t>oratory</w:t>
      </w:r>
      <w:r w:rsidRPr="00211A50">
        <w:rPr>
          <w:rFonts w:ascii="Arial" w:hAnsi="Arial" w:cs="Arial"/>
          <w:sz w:val="22"/>
          <w:szCs w:val="22"/>
        </w:rPr>
        <w:t xml:space="preserve"> must analyze specimens from 20 healthy, non-diseased individuals, for each subgroup. If 2 or fewer results fall outside the published </w:t>
      </w:r>
      <w:r w:rsidRPr="00211A50" w:rsidR="00555E73">
        <w:rPr>
          <w:rFonts w:ascii="Arial" w:hAnsi="Arial" w:cs="Arial"/>
          <w:sz w:val="22"/>
          <w:szCs w:val="22"/>
        </w:rPr>
        <w:t>range, it is considered verified</w:t>
      </w:r>
      <w:r w:rsidRPr="00211A50">
        <w:rPr>
          <w:rFonts w:ascii="Arial" w:hAnsi="Arial" w:cs="Arial"/>
          <w:sz w:val="22"/>
          <w:szCs w:val="22"/>
        </w:rPr>
        <w:t xml:space="preserve">. If, however, more than 2 results fall outside the published range, a more extensive study should be conducted. </w:t>
      </w:r>
      <w:r w:rsidRPr="00211A50" w:rsidR="00F1271C">
        <w:rPr>
          <w:rFonts w:ascii="Arial" w:hAnsi="Arial" w:cs="Arial"/>
          <w:sz w:val="22"/>
          <w:szCs w:val="22"/>
        </w:rPr>
        <w:t xml:space="preserve">In this case, 120 study participants </w:t>
      </w:r>
      <w:r w:rsidRPr="00211A50" w:rsidR="00555E73">
        <w:rPr>
          <w:rFonts w:ascii="Arial" w:hAnsi="Arial" w:cs="Arial"/>
          <w:sz w:val="22"/>
          <w:szCs w:val="22"/>
        </w:rPr>
        <w:t>are required per range subgroup</w:t>
      </w:r>
      <w:r w:rsidRPr="00211A50" w:rsidR="00F1271C">
        <w:rPr>
          <w:rFonts w:ascii="Arial" w:hAnsi="Arial" w:cs="Arial"/>
          <w:sz w:val="22"/>
          <w:szCs w:val="22"/>
        </w:rPr>
        <w:t xml:space="preserve"> to establish a new reference range.</w:t>
      </w:r>
      <w:r w:rsidRPr="00211A50" w:rsidR="00555E73">
        <w:rPr>
          <w:rFonts w:ascii="Arial" w:hAnsi="Arial" w:cs="Arial"/>
          <w:sz w:val="22"/>
          <w:szCs w:val="22"/>
        </w:rPr>
        <w:t xml:space="preserve"> </w:t>
      </w:r>
    </w:p>
    <w:p w:rsidR="00555E73" w:rsidRPr="00211A50" w:rsidP="00211A50" w14:paraId="2B3645BE" w14:textId="77777777">
      <w:pPr>
        <w:autoSpaceDE w:val="0"/>
        <w:autoSpaceDN w:val="0"/>
        <w:adjustRightInd w:val="0"/>
        <w:spacing w:line="276" w:lineRule="auto"/>
        <w:ind w:left="1440"/>
        <w:rPr>
          <w:rFonts w:ascii="Arial" w:hAnsi="Arial" w:cs="Arial"/>
          <w:sz w:val="22"/>
          <w:szCs w:val="22"/>
        </w:rPr>
      </w:pPr>
    </w:p>
    <w:p w:rsidR="00A05E80" w:rsidRPr="00211A50" w:rsidP="00211A50" w14:paraId="5C1E4A4F" w14:textId="77777777">
      <w:pPr>
        <w:numPr>
          <w:ilvl w:val="1"/>
          <w:numId w:val="18"/>
        </w:numPr>
        <w:suppressAutoHyphens/>
        <w:autoSpaceDE w:val="0"/>
        <w:spacing w:line="276" w:lineRule="auto"/>
        <w:rPr>
          <w:rFonts w:ascii="Arial" w:hAnsi="Arial" w:cs="Arial"/>
          <w:sz w:val="22"/>
          <w:szCs w:val="22"/>
        </w:rPr>
      </w:pPr>
      <w:r w:rsidRPr="00211A50">
        <w:rPr>
          <w:rFonts w:ascii="Arial" w:hAnsi="Arial" w:cs="Arial"/>
          <w:sz w:val="22"/>
          <w:szCs w:val="22"/>
        </w:rPr>
        <w:t xml:space="preserve">The reference range studies </w:t>
      </w:r>
      <w:r w:rsidRPr="00211A50" w:rsidR="000B0F8B">
        <w:rPr>
          <w:rFonts w:ascii="Arial" w:hAnsi="Arial" w:cs="Arial"/>
          <w:sz w:val="22"/>
          <w:szCs w:val="22"/>
        </w:rPr>
        <w:t>have been</w:t>
      </w:r>
      <w:r w:rsidRPr="00211A50">
        <w:rPr>
          <w:rFonts w:ascii="Arial" w:hAnsi="Arial" w:cs="Arial"/>
          <w:sz w:val="22"/>
          <w:szCs w:val="22"/>
        </w:rPr>
        <w:t xml:space="preserve"> verified </w:t>
      </w:r>
      <w:r w:rsidRPr="00211A50" w:rsidR="00552B88">
        <w:rPr>
          <w:rFonts w:ascii="Arial" w:hAnsi="Arial" w:cs="Arial"/>
          <w:sz w:val="22"/>
          <w:szCs w:val="22"/>
        </w:rPr>
        <w:t>(or established</w:t>
      </w:r>
      <w:r w:rsidRPr="00211A50" w:rsidR="00555E73">
        <w:rPr>
          <w:rFonts w:ascii="Arial" w:hAnsi="Arial" w:cs="Arial"/>
          <w:sz w:val="22"/>
          <w:szCs w:val="22"/>
        </w:rPr>
        <w:t>)</w:t>
      </w:r>
      <w:r w:rsidR="000C4427">
        <w:rPr>
          <w:rFonts w:ascii="Arial" w:hAnsi="Arial" w:cs="Arial"/>
          <w:sz w:val="22"/>
          <w:szCs w:val="22"/>
        </w:rPr>
        <w:t xml:space="preserve"> </w:t>
      </w:r>
      <w:r w:rsidRPr="00211A50" w:rsidR="009A08F2">
        <w:rPr>
          <w:rFonts w:ascii="Arial" w:hAnsi="Arial" w:cs="Arial"/>
          <w:sz w:val="22"/>
          <w:szCs w:val="22"/>
        </w:rPr>
        <w:t>for the following populations:</w:t>
      </w:r>
    </w:p>
    <w:p w:rsidR="00622410" w:rsidRPr="00211A50" w:rsidP="00211A50" w14:paraId="1115B30F" w14:textId="045D6143">
      <w:pPr>
        <w:numPr>
          <w:ilvl w:val="2"/>
          <w:numId w:val="18"/>
        </w:numPr>
        <w:suppressAutoHyphens/>
        <w:autoSpaceDE w:val="0"/>
        <w:spacing w:line="276" w:lineRule="auto"/>
        <w:rPr>
          <w:rFonts w:ascii="Arial" w:hAnsi="Arial" w:cs="Arial"/>
          <w:color w:val="FF0000"/>
          <w:sz w:val="22"/>
          <w:szCs w:val="22"/>
        </w:rPr>
      </w:pPr>
      <w:r w:rsidRPr="00211A50">
        <w:rPr>
          <w:rFonts w:ascii="Arial" w:hAnsi="Arial" w:cs="Arial"/>
          <w:sz w:val="22"/>
          <w:szCs w:val="22"/>
        </w:rPr>
        <w:t xml:space="preserve">Adult </w:t>
      </w:r>
      <w:r w:rsidRPr="00211A50" w:rsidR="00A37295">
        <w:rPr>
          <w:rFonts w:ascii="Arial" w:hAnsi="Arial" w:cs="Arial"/>
          <w:sz w:val="22"/>
          <w:szCs w:val="22"/>
        </w:rPr>
        <w:t>reference ranges</w:t>
      </w:r>
      <w:r w:rsidRPr="00211A50">
        <w:rPr>
          <w:rFonts w:ascii="Arial" w:hAnsi="Arial" w:cs="Arial"/>
          <w:sz w:val="22"/>
          <w:szCs w:val="22"/>
        </w:rPr>
        <w:t>–</w:t>
      </w:r>
      <w:bookmarkStart w:id="6" w:name="_Hlk132811726"/>
      <w:r w:rsidRPr="00211A50" w:rsidR="00A37295">
        <w:rPr>
          <w:rFonts w:ascii="Arial" w:hAnsi="Arial" w:cs="Arial"/>
          <w:color w:val="4472C4"/>
          <w:sz w:val="22"/>
          <w:szCs w:val="22"/>
        </w:rPr>
        <w:t>describe the methods used to establish or verify reference ranges for each analyte.  Include information on how “normal” subjects were screened, the total number of subjects included, and any other pertinent information</w:t>
      </w:r>
      <w:r w:rsidR="00634766">
        <w:rPr>
          <w:rFonts w:ascii="Arial" w:hAnsi="Arial" w:cs="Arial"/>
          <w:color w:val="4472C4"/>
          <w:sz w:val="22"/>
          <w:szCs w:val="22"/>
        </w:rPr>
        <w:t>.</w:t>
      </w:r>
      <w:bookmarkEnd w:id="6"/>
    </w:p>
    <w:p w:rsidR="00A37295" w:rsidRPr="00211A50" w:rsidP="00211A50" w14:paraId="088311AE" w14:textId="77777777">
      <w:pPr>
        <w:numPr>
          <w:ilvl w:val="2"/>
          <w:numId w:val="18"/>
        </w:numPr>
        <w:suppressAutoHyphens/>
        <w:autoSpaceDE w:val="0"/>
        <w:spacing w:line="276" w:lineRule="auto"/>
        <w:rPr>
          <w:rFonts w:ascii="Arial" w:hAnsi="Arial" w:cs="Arial"/>
          <w:color w:val="4472C4"/>
          <w:sz w:val="22"/>
          <w:szCs w:val="22"/>
        </w:rPr>
      </w:pPr>
      <w:r w:rsidRPr="00211A50">
        <w:rPr>
          <w:rFonts w:ascii="Arial" w:hAnsi="Arial" w:cs="Arial"/>
          <w:sz w:val="22"/>
          <w:szCs w:val="22"/>
        </w:rPr>
        <w:t xml:space="preserve">Pediatric </w:t>
      </w:r>
      <w:r w:rsidRPr="00211A50" w:rsidR="005E0135">
        <w:rPr>
          <w:rFonts w:ascii="Arial" w:hAnsi="Arial" w:cs="Arial"/>
          <w:sz w:val="22"/>
          <w:szCs w:val="22"/>
        </w:rPr>
        <w:t>reference ranges</w:t>
      </w:r>
      <w:r w:rsidRPr="00211A50">
        <w:rPr>
          <w:rFonts w:ascii="Arial" w:hAnsi="Arial" w:cs="Arial"/>
          <w:sz w:val="22"/>
          <w:szCs w:val="22"/>
        </w:rPr>
        <w:t xml:space="preserve">– </w:t>
      </w:r>
      <w:r w:rsidRPr="00211A50">
        <w:rPr>
          <w:rFonts w:ascii="Arial" w:hAnsi="Arial" w:cs="Arial"/>
          <w:color w:val="4472C4"/>
          <w:sz w:val="22"/>
          <w:szCs w:val="22"/>
        </w:rPr>
        <w:t xml:space="preserve">describe the methods used to establish or verify reference ranges for each analyte.  Include information on how “normal” subjects were screened, the total number of </w:t>
      </w:r>
      <w:r w:rsidRPr="00B03F96">
        <w:rPr>
          <w:rFonts w:ascii="Arial" w:hAnsi="Arial" w:cs="Arial"/>
          <w:color w:val="4472C4"/>
          <w:sz w:val="22"/>
          <w:szCs w:val="22"/>
        </w:rPr>
        <w:t>subjects</w:t>
      </w:r>
      <w:r w:rsidRPr="00211A50">
        <w:rPr>
          <w:rFonts w:ascii="Arial" w:hAnsi="Arial" w:cs="Arial"/>
          <w:color w:val="4472C4"/>
          <w:sz w:val="22"/>
          <w:szCs w:val="22"/>
        </w:rPr>
        <w:t xml:space="preserve"> included, and any other pertinent information.  See example below:</w:t>
      </w:r>
    </w:p>
    <w:p w:rsidR="00A05E80" w:rsidRPr="00211A50" w:rsidP="00211A50" w14:paraId="274A01C6" w14:textId="77777777">
      <w:pPr>
        <w:suppressAutoHyphens/>
        <w:autoSpaceDE w:val="0"/>
        <w:spacing w:line="276" w:lineRule="auto"/>
        <w:ind w:left="2520"/>
        <w:rPr>
          <w:rFonts w:ascii="Arial" w:hAnsi="Arial" w:cs="Arial"/>
          <w:color w:val="FF0000"/>
          <w:sz w:val="22"/>
          <w:szCs w:val="22"/>
        </w:rPr>
      </w:pPr>
      <w:r w:rsidRPr="00211A50">
        <w:rPr>
          <w:rFonts w:ascii="Arial" w:hAnsi="Arial" w:cs="Arial"/>
          <w:sz w:val="22"/>
          <w:szCs w:val="22"/>
        </w:rPr>
        <w:t>“</w:t>
      </w:r>
      <w:r w:rsidRPr="00211A50" w:rsidR="005E0135">
        <w:rPr>
          <w:rFonts w:ascii="Arial" w:hAnsi="Arial" w:cs="Arial"/>
          <w:sz w:val="22"/>
          <w:szCs w:val="22"/>
        </w:rPr>
        <w:t>R</w:t>
      </w:r>
      <w:r w:rsidRPr="00211A50" w:rsidR="00D9640D">
        <w:rPr>
          <w:rFonts w:ascii="Arial" w:hAnsi="Arial" w:cs="Arial"/>
          <w:sz w:val="22"/>
          <w:szCs w:val="22"/>
        </w:rPr>
        <w:t>eference ranges for pediatrics were adopted from Ugandan refer</w:t>
      </w:r>
      <w:r w:rsidRPr="00211A50" w:rsidR="004F5BDA">
        <w:rPr>
          <w:rFonts w:ascii="Arial" w:hAnsi="Arial" w:cs="Arial"/>
          <w:sz w:val="22"/>
          <w:szCs w:val="22"/>
        </w:rPr>
        <w:t xml:space="preserve">ence ranges in use at the </w:t>
      </w:r>
      <w:r w:rsidRPr="0039406B" w:rsidR="004F5BDA">
        <w:rPr>
          <w:rFonts w:ascii="Arial" w:hAnsi="Arial" w:cs="Arial"/>
          <w:sz w:val="22"/>
          <w:szCs w:val="22"/>
        </w:rPr>
        <w:t>XYZ</w:t>
      </w:r>
      <w:r w:rsidRPr="0039406B" w:rsidR="00D9640D">
        <w:rPr>
          <w:rFonts w:ascii="Arial" w:hAnsi="Arial" w:cs="Arial"/>
          <w:sz w:val="22"/>
          <w:szCs w:val="22"/>
        </w:rPr>
        <w:t xml:space="preserve"> Research lab in Kampala, Uganda</w:t>
      </w:r>
      <w:r w:rsidRPr="00B03F96" w:rsidR="00D9640D">
        <w:rPr>
          <w:rFonts w:ascii="Arial" w:hAnsi="Arial" w:cs="Arial"/>
          <w:color w:val="4472C4"/>
          <w:sz w:val="22"/>
          <w:szCs w:val="22"/>
        </w:rPr>
        <w:t>.</w:t>
      </w:r>
      <w:r w:rsidRPr="00211A50" w:rsidR="00D9640D">
        <w:rPr>
          <w:rFonts w:ascii="Arial" w:hAnsi="Arial" w:cs="Arial"/>
          <w:sz w:val="22"/>
          <w:szCs w:val="22"/>
        </w:rPr>
        <w:t xml:space="preserve">  The ra</w:t>
      </w:r>
      <w:r w:rsidRPr="00211A50" w:rsidR="004F5BDA">
        <w:rPr>
          <w:rFonts w:ascii="Arial" w:hAnsi="Arial" w:cs="Arial"/>
          <w:sz w:val="22"/>
          <w:szCs w:val="22"/>
        </w:rPr>
        <w:t>nges were evaluated by the ABC</w:t>
      </w:r>
      <w:r w:rsidRPr="00211A50" w:rsidR="00D9640D">
        <w:rPr>
          <w:rFonts w:ascii="Arial" w:hAnsi="Arial" w:cs="Arial"/>
          <w:sz w:val="22"/>
          <w:szCs w:val="22"/>
        </w:rPr>
        <w:t xml:space="preserve"> medical leadership team in consultation with local pediatricians and determined to be appropriate for the local Tanzania population. </w:t>
      </w:r>
      <w:r w:rsidRPr="00211A50" w:rsidR="001B4310">
        <w:rPr>
          <w:rFonts w:ascii="Arial" w:hAnsi="Arial" w:cs="Arial"/>
          <w:sz w:val="22"/>
          <w:szCs w:val="22"/>
        </w:rPr>
        <w:t xml:space="preserve">Adoption of these ranges was approved by the </w:t>
      </w:r>
      <w:r w:rsidRPr="00211A50" w:rsidR="004F5BDA">
        <w:rPr>
          <w:rFonts w:ascii="Arial" w:hAnsi="Arial" w:cs="Arial"/>
          <w:sz w:val="22"/>
          <w:szCs w:val="22"/>
        </w:rPr>
        <w:t>ABC</w:t>
      </w:r>
      <w:r w:rsidRPr="00211A50" w:rsidR="001B4310">
        <w:rPr>
          <w:rFonts w:ascii="Arial" w:hAnsi="Arial" w:cs="Arial"/>
          <w:sz w:val="22"/>
          <w:szCs w:val="22"/>
        </w:rPr>
        <w:t xml:space="preserve"> Medical Director.  </w:t>
      </w:r>
      <w:r w:rsidRPr="00211A50" w:rsidR="00905804">
        <w:rPr>
          <w:rFonts w:ascii="Arial" w:hAnsi="Arial" w:cs="Arial"/>
          <w:sz w:val="22"/>
          <w:szCs w:val="22"/>
        </w:rPr>
        <w:t>All</w:t>
      </w:r>
      <w:r w:rsidRPr="00211A50" w:rsidR="001B4310">
        <w:rPr>
          <w:rFonts w:ascii="Arial" w:hAnsi="Arial" w:cs="Arial"/>
          <w:sz w:val="22"/>
          <w:szCs w:val="22"/>
        </w:rPr>
        <w:t xml:space="preserve"> ranges will be verified and monitored over time as appropriate</w:t>
      </w:r>
      <w:r w:rsidRPr="00211A50" w:rsidR="00B30CCC">
        <w:rPr>
          <w:rFonts w:ascii="Arial" w:hAnsi="Arial" w:cs="Arial"/>
          <w:sz w:val="22"/>
          <w:szCs w:val="22"/>
        </w:rPr>
        <w:t xml:space="preserve"> data becomes available</w:t>
      </w:r>
      <w:r w:rsidRPr="00211A50" w:rsidR="001B4310">
        <w:rPr>
          <w:rFonts w:ascii="Arial" w:hAnsi="Arial" w:cs="Arial"/>
          <w:sz w:val="22"/>
          <w:szCs w:val="22"/>
        </w:rPr>
        <w:t>.</w:t>
      </w:r>
      <w:r w:rsidRPr="00211A50">
        <w:rPr>
          <w:rFonts w:ascii="Arial" w:hAnsi="Arial" w:cs="Arial"/>
          <w:sz w:val="22"/>
          <w:szCs w:val="22"/>
        </w:rPr>
        <w:t>”</w:t>
      </w:r>
    </w:p>
    <w:p w:rsidR="009A08F2" w:rsidRPr="00211A50" w:rsidP="00211A50" w14:paraId="5D32E04B" w14:textId="77777777">
      <w:pPr>
        <w:numPr>
          <w:ilvl w:val="1"/>
          <w:numId w:val="18"/>
        </w:numPr>
        <w:suppressAutoHyphens/>
        <w:autoSpaceDE w:val="0"/>
        <w:spacing w:line="276" w:lineRule="auto"/>
        <w:rPr>
          <w:rFonts w:ascii="Arial" w:hAnsi="Arial" w:cs="Arial"/>
          <w:sz w:val="22"/>
          <w:szCs w:val="22"/>
        </w:rPr>
      </w:pPr>
      <w:r w:rsidRPr="00211A50">
        <w:rPr>
          <w:rFonts w:ascii="Arial" w:hAnsi="Arial" w:cs="Arial"/>
          <w:sz w:val="22"/>
          <w:szCs w:val="22"/>
        </w:rPr>
        <w:t>Acceptability</w:t>
      </w:r>
      <w:r w:rsidRPr="00211A50">
        <w:rPr>
          <w:rFonts w:ascii="Arial" w:hAnsi="Arial" w:cs="Arial"/>
          <w:sz w:val="22"/>
          <w:szCs w:val="22"/>
        </w:rPr>
        <w:t xml:space="preserve"> criter</w:t>
      </w:r>
      <w:r w:rsidRPr="00211A50" w:rsidR="00FF01D1">
        <w:rPr>
          <w:rFonts w:ascii="Arial" w:hAnsi="Arial" w:cs="Arial"/>
          <w:sz w:val="22"/>
          <w:szCs w:val="22"/>
        </w:rPr>
        <w:t>i</w:t>
      </w:r>
      <w:r w:rsidRPr="00211A50">
        <w:rPr>
          <w:rFonts w:ascii="Arial" w:hAnsi="Arial" w:cs="Arial"/>
          <w:sz w:val="22"/>
          <w:szCs w:val="22"/>
        </w:rPr>
        <w:t>a:</w:t>
      </w:r>
    </w:p>
    <w:p w:rsidR="0029114E" w:rsidRPr="00211A50" w:rsidP="00211A50" w14:paraId="03D39583" w14:textId="77777777">
      <w:pPr>
        <w:numPr>
          <w:ilvl w:val="2"/>
          <w:numId w:val="18"/>
        </w:numPr>
        <w:suppressAutoHyphens/>
        <w:autoSpaceDE w:val="0"/>
        <w:spacing w:line="276" w:lineRule="auto"/>
        <w:rPr>
          <w:rFonts w:ascii="Arial" w:hAnsi="Arial" w:cs="Arial"/>
          <w:sz w:val="22"/>
          <w:szCs w:val="22"/>
        </w:rPr>
      </w:pPr>
      <w:r w:rsidRPr="00211A50">
        <w:rPr>
          <w:rFonts w:ascii="Arial" w:hAnsi="Arial" w:cs="Arial"/>
          <w:sz w:val="22"/>
          <w:szCs w:val="22"/>
        </w:rPr>
        <w:t xml:space="preserve">Establishment: </w:t>
      </w:r>
      <w:r w:rsidRPr="00211A50" w:rsidR="00FF01D1">
        <w:rPr>
          <w:rFonts w:ascii="Arial" w:hAnsi="Arial" w:cs="Arial"/>
          <w:sz w:val="22"/>
          <w:szCs w:val="22"/>
        </w:rPr>
        <w:t>ranges will be determined using a non-parametric statistical method to determine the 95% reference limits.  For most analytes the lower and upper reference limits are defined as the 2.5</w:t>
      </w:r>
      <w:r w:rsidRPr="00211A50" w:rsidR="00FF01D1">
        <w:rPr>
          <w:rFonts w:ascii="Arial" w:hAnsi="Arial" w:cs="Arial"/>
          <w:sz w:val="22"/>
          <w:szCs w:val="22"/>
          <w:vertAlign w:val="superscript"/>
        </w:rPr>
        <w:t>th</w:t>
      </w:r>
      <w:r w:rsidRPr="00211A50" w:rsidR="00FF01D1">
        <w:rPr>
          <w:rFonts w:ascii="Arial" w:hAnsi="Arial" w:cs="Arial"/>
          <w:sz w:val="22"/>
          <w:szCs w:val="22"/>
        </w:rPr>
        <w:t xml:space="preserve"> and 97.5</w:t>
      </w:r>
      <w:r w:rsidRPr="00211A50" w:rsidR="00FF01D1">
        <w:rPr>
          <w:rFonts w:ascii="Arial" w:hAnsi="Arial" w:cs="Arial"/>
          <w:sz w:val="22"/>
          <w:szCs w:val="22"/>
          <w:vertAlign w:val="superscript"/>
        </w:rPr>
        <w:t>th</w:t>
      </w:r>
      <w:r w:rsidRPr="00211A50" w:rsidR="00FF01D1">
        <w:rPr>
          <w:rFonts w:ascii="Arial" w:hAnsi="Arial" w:cs="Arial"/>
          <w:sz w:val="22"/>
          <w:szCs w:val="22"/>
        </w:rPr>
        <w:t xml:space="preserve"> percentiles, respectively.</w:t>
      </w:r>
      <w:r w:rsidRPr="00211A50">
        <w:rPr>
          <w:rFonts w:ascii="Arial" w:hAnsi="Arial" w:cs="Arial"/>
          <w:sz w:val="22"/>
          <w:szCs w:val="22"/>
        </w:rPr>
        <w:t xml:space="preserve"> </w:t>
      </w:r>
    </w:p>
    <w:p w:rsidR="00AD73AF" w:rsidRPr="00211A50" w:rsidP="00211A50" w14:paraId="671B6428" w14:textId="77777777">
      <w:pPr>
        <w:numPr>
          <w:ilvl w:val="2"/>
          <w:numId w:val="18"/>
        </w:numPr>
        <w:suppressAutoHyphens/>
        <w:autoSpaceDE w:val="0"/>
        <w:spacing w:line="276" w:lineRule="auto"/>
        <w:rPr>
          <w:rFonts w:ascii="Arial" w:hAnsi="Arial" w:cs="Arial"/>
          <w:sz w:val="22"/>
          <w:szCs w:val="22"/>
        </w:rPr>
      </w:pPr>
      <w:r w:rsidRPr="00211A50">
        <w:rPr>
          <w:rFonts w:ascii="Arial" w:hAnsi="Arial" w:cs="Arial"/>
          <w:sz w:val="22"/>
          <w:szCs w:val="22"/>
        </w:rPr>
        <w:t>Verification: ranges will be considered verified if 90% of values fall within the proposed range</w:t>
      </w:r>
    </w:p>
    <w:p w:rsidR="00AD73AF" w:rsidRPr="00211A50" w:rsidP="00211A50" w14:paraId="20DE3AC2" w14:textId="77777777">
      <w:pPr>
        <w:numPr>
          <w:ilvl w:val="2"/>
          <w:numId w:val="18"/>
        </w:numPr>
        <w:suppressAutoHyphens/>
        <w:autoSpaceDE w:val="0"/>
        <w:spacing w:line="276" w:lineRule="auto"/>
        <w:rPr>
          <w:rFonts w:ascii="Arial" w:hAnsi="Arial" w:cs="Arial"/>
          <w:sz w:val="22"/>
          <w:szCs w:val="22"/>
        </w:rPr>
      </w:pPr>
      <w:r w:rsidRPr="00211A50">
        <w:rPr>
          <w:rFonts w:ascii="Arial" w:hAnsi="Arial" w:cs="Arial"/>
          <w:sz w:val="22"/>
          <w:szCs w:val="22"/>
        </w:rPr>
        <w:t xml:space="preserve">Verification of pediatric ranges will be dependent on the ability to collect sufficient pediatric samples in each age category.  Additional time may be required or fewer samples may be acceptable.  The Medical Director will </w:t>
      </w:r>
      <w:r w:rsidRPr="00211A50">
        <w:rPr>
          <w:rFonts w:ascii="Arial" w:hAnsi="Arial" w:cs="Arial"/>
          <w:sz w:val="22"/>
          <w:szCs w:val="22"/>
        </w:rPr>
        <w:t>have final approval on the acceptability of pediatric reference range verification.</w:t>
      </w:r>
    </w:p>
    <w:p w:rsidR="00A05E80" w:rsidRPr="00211A50" w:rsidP="00211A50" w14:paraId="0880F15B" w14:textId="77777777">
      <w:pPr>
        <w:suppressAutoHyphens/>
        <w:autoSpaceDE w:val="0"/>
        <w:spacing w:line="276" w:lineRule="auto"/>
        <w:rPr>
          <w:rFonts w:ascii="Arial" w:hAnsi="Arial" w:cs="Arial"/>
          <w:sz w:val="22"/>
          <w:szCs w:val="22"/>
        </w:rPr>
      </w:pPr>
    </w:p>
    <w:p w:rsidR="007D07CC" w:rsidRPr="00FD5457" w:rsidP="00FD5457" w14:paraId="55B7F178" w14:textId="1D785129">
      <w:pPr>
        <w:numPr>
          <w:ilvl w:val="0"/>
          <w:numId w:val="20"/>
        </w:numPr>
        <w:spacing w:after="240" w:line="276" w:lineRule="auto"/>
        <w:rPr>
          <w:rFonts w:ascii="Arial" w:hAnsi="Arial" w:cs="Arial"/>
          <w:b/>
          <w:sz w:val="22"/>
          <w:szCs w:val="22"/>
        </w:rPr>
      </w:pPr>
      <w:r w:rsidRPr="00211A50">
        <w:rPr>
          <w:rFonts w:ascii="Arial" w:hAnsi="Arial" w:cs="Arial"/>
          <w:b/>
          <w:sz w:val="22"/>
          <w:szCs w:val="22"/>
        </w:rPr>
        <w:t>Method Approva</w:t>
      </w:r>
      <w:r w:rsidRPr="00211A50">
        <w:rPr>
          <w:rFonts w:ascii="Arial" w:hAnsi="Arial" w:cs="Arial"/>
          <w:b/>
          <w:sz w:val="22"/>
          <w:szCs w:val="22"/>
        </w:rPr>
        <w:t>l</w:t>
      </w:r>
      <w:r w:rsidR="00FD5457">
        <w:rPr>
          <w:rFonts w:ascii="Arial" w:hAnsi="Arial" w:cs="Arial"/>
          <w:b/>
          <w:sz w:val="22"/>
          <w:szCs w:val="22"/>
        </w:rPr>
        <w:t xml:space="preserve">- </w:t>
      </w:r>
      <w:r w:rsidRPr="00FD5457">
        <w:rPr>
          <w:rFonts w:ascii="Arial" w:hAnsi="Arial" w:cs="Arial"/>
          <w:sz w:val="22"/>
          <w:szCs w:val="22"/>
        </w:rPr>
        <w:t>T</w:t>
      </w:r>
      <w:r w:rsidR="00EF3140">
        <w:rPr>
          <w:rFonts w:ascii="Arial" w:hAnsi="Arial" w:cs="Arial"/>
          <w:sz w:val="22"/>
          <w:szCs w:val="22"/>
        </w:rPr>
        <w:t>he final decision on method</w:t>
      </w:r>
      <w:r w:rsidRPr="00FD5457">
        <w:rPr>
          <w:rFonts w:ascii="Arial" w:hAnsi="Arial" w:cs="Arial"/>
          <w:sz w:val="22"/>
          <w:szCs w:val="22"/>
        </w:rPr>
        <w:t xml:space="preserve"> validation and acceptance is made after a careful review of </w:t>
      </w:r>
      <w:r w:rsidRPr="00FD5457">
        <w:rPr>
          <w:rFonts w:ascii="Arial" w:hAnsi="Arial" w:cs="Arial"/>
          <w:bCs/>
          <w:sz w:val="22"/>
          <w:szCs w:val="22"/>
        </w:rPr>
        <w:t>all</w:t>
      </w:r>
      <w:r w:rsidRPr="00FD5457">
        <w:rPr>
          <w:rFonts w:ascii="Arial" w:hAnsi="Arial" w:cs="Arial"/>
          <w:sz w:val="22"/>
          <w:szCs w:val="22"/>
        </w:rPr>
        <w:t xml:space="preserve"> the studies performed as part of the complete method validation process.  The </w:t>
      </w:r>
      <w:r w:rsidRPr="00FD5457" w:rsidR="00450B47">
        <w:rPr>
          <w:rFonts w:ascii="Arial" w:hAnsi="Arial" w:cs="Arial"/>
          <w:sz w:val="22"/>
          <w:szCs w:val="22"/>
        </w:rPr>
        <w:t>Laboratory Director</w:t>
      </w:r>
      <w:r w:rsidRPr="00FD5457">
        <w:rPr>
          <w:rFonts w:ascii="Arial" w:hAnsi="Arial" w:cs="Arial"/>
          <w:sz w:val="22"/>
          <w:szCs w:val="22"/>
        </w:rPr>
        <w:t xml:space="preserve"> shall make the ultimate decision on method validation.  Method acceptance is based on the results from the above studies plus an evaluation of the new method’s cost effectiveness, turn-around-time, laboratory staff training needs, and any other relevant operational considerations.</w:t>
      </w:r>
    </w:p>
    <w:p w:rsidR="00FD5457" w:rsidRPr="00FD5457" w:rsidP="00FD5457" w14:paraId="0CB77864" w14:textId="60893FD8">
      <w:pPr>
        <w:numPr>
          <w:ilvl w:val="0"/>
          <w:numId w:val="20"/>
        </w:numPr>
        <w:spacing w:line="276" w:lineRule="auto"/>
        <w:rPr>
          <w:rFonts w:ascii="Arial" w:hAnsi="Arial" w:cs="Arial"/>
          <w:b/>
          <w:color w:val="4472C4" w:themeColor="accent1"/>
          <w:sz w:val="22"/>
          <w:szCs w:val="22"/>
        </w:rPr>
      </w:pPr>
      <w:r>
        <w:rPr>
          <w:rFonts w:ascii="Arial" w:hAnsi="Arial" w:cs="Arial"/>
          <w:b/>
          <w:color w:val="4472C4" w:themeColor="accent1"/>
          <w:sz w:val="22"/>
          <w:szCs w:val="22"/>
        </w:rPr>
        <w:t>Optional Sections-</w:t>
      </w:r>
      <w:r w:rsidR="0039406B">
        <w:rPr>
          <w:rFonts w:ascii="Arial" w:hAnsi="Arial" w:cs="Arial"/>
          <w:b/>
          <w:color w:val="4472C4" w:themeColor="accent1"/>
          <w:sz w:val="22"/>
          <w:szCs w:val="22"/>
        </w:rPr>
        <w:t>E</w:t>
      </w:r>
      <w:r w:rsidR="006E63F0">
        <w:rPr>
          <w:rFonts w:ascii="Arial" w:hAnsi="Arial" w:cs="Arial"/>
          <w:b/>
          <w:color w:val="4472C4" w:themeColor="accent1"/>
          <w:sz w:val="22"/>
          <w:szCs w:val="22"/>
        </w:rPr>
        <w:t>.</w:t>
      </w:r>
      <w:r w:rsidR="0039406B">
        <w:rPr>
          <w:rFonts w:ascii="Arial" w:hAnsi="Arial" w:cs="Arial"/>
          <w:b/>
          <w:color w:val="4472C4" w:themeColor="accent1"/>
          <w:sz w:val="22"/>
          <w:szCs w:val="22"/>
        </w:rPr>
        <w:t>g.</w:t>
      </w:r>
      <w:r w:rsidRPr="00FD5457">
        <w:rPr>
          <w:rFonts w:ascii="Arial" w:hAnsi="Arial" w:cs="Arial"/>
          <w:b/>
          <w:color w:val="4472C4" w:themeColor="accent1"/>
          <w:sz w:val="22"/>
          <w:szCs w:val="22"/>
        </w:rPr>
        <w:t xml:space="preserve"> Car</w:t>
      </w:r>
      <w:r w:rsidR="00A835BF">
        <w:rPr>
          <w:rFonts w:ascii="Arial" w:hAnsi="Arial" w:cs="Arial"/>
          <w:b/>
          <w:color w:val="4472C4" w:themeColor="accent1"/>
          <w:sz w:val="22"/>
          <w:szCs w:val="22"/>
        </w:rPr>
        <w:t>r</w:t>
      </w:r>
      <w:r w:rsidRPr="00FD5457">
        <w:rPr>
          <w:rFonts w:ascii="Arial" w:hAnsi="Arial" w:cs="Arial"/>
          <w:b/>
          <w:color w:val="4472C4" w:themeColor="accent1"/>
          <w:sz w:val="22"/>
          <w:szCs w:val="22"/>
        </w:rPr>
        <w:t>yover (</w:t>
      </w:r>
      <w:r w:rsidR="006E63F0">
        <w:rPr>
          <w:rFonts w:ascii="Arial" w:hAnsi="Arial" w:cs="Arial"/>
          <w:b/>
          <w:color w:val="4472C4" w:themeColor="accent1"/>
          <w:sz w:val="22"/>
          <w:szCs w:val="22"/>
        </w:rPr>
        <w:t>May be applicable)</w:t>
      </w:r>
    </w:p>
    <w:p w:rsidR="0035742C" w:rsidRPr="00211A50" w:rsidP="00FD5457" w14:paraId="7592481A" w14:textId="77777777">
      <w:pPr>
        <w:spacing w:line="276" w:lineRule="auto"/>
        <w:ind w:left="360"/>
        <w:rPr>
          <w:rFonts w:ascii="Arial" w:hAnsi="Arial" w:cs="Arial"/>
          <w:sz w:val="22"/>
          <w:szCs w:val="22"/>
        </w:rPr>
      </w:pPr>
    </w:p>
    <w:p w:rsidR="00FD5457" w:rsidP="00FD5457" w14:paraId="07E4FAFF" w14:textId="07914137">
      <w:pPr>
        <w:numPr>
          <w:ilvl w:val="0"/>
          <w:numId w:val="19"/>
        </w:numPr>
        <w:suppressAutoHyphens/>
        <w:autoSpaceDE w:val="0"/>
        <w:spacing w:line="276" w:lineRule="auto"/>
        <w:ind w:left="1080"/>
        <w:rPr>
          <w:rFonts w:ascii="Arial" w:hAnsi="Arial" w:cs="Arial"/>
          <w:sz w:val="22"/>
          <w:szCs w:val="20"/>
        </w:rPr>
      </w:pPr>
      <w:r>
        <w:rPr>
          <w:rFonts w:ascii="Arial" w:hAnsi="Arial" w:cs="Arial"/>
          <w:sz w:val="22"/>
          <w:szCs w:val="20"/>
        </w:rPr>
        <w:t>Carryover is</w:t>
      </w:r>
      <w:r w:rsidR="00AF339C">
        <w:rPr>
          <w:rFonts w:ascii="Arial" w:hAnsi="Arial" w:cs="Arial"/>
          <w:sz w:val="22"/>
          <w:szCs w:val="20"/>
        </w:rPr>
        <w:t xml:space="preserve"> </w:t>
      </w:r>
      <w:r w:rsidRPr="00FD5457" w:rsidR="0035742C">
        <w:rPr>
          <w:rFonts w:ascii="Arial" w:hAnsi="Arial" w:cs="Arial"/>
          <w:sz w:val="22"/>
          <w:szCs w:val="20"/>
        </w:rPr>
        <w:t>the determination of whether high concentration samples run immediately before low concentration samples causes falsely elevated results in the l</w:t>
      </w:r>
      <w:r w:rsidRPr="00FD5457" w:rsidR="00A042CB">
        <w:rPr>
          <w:rFonts w:ascii="Arial" w:hAnsi="Arial" w:cs="Arial"/>
          <w:sz w:val="22"/>
          <w:szCs w:val="20"/>
        </w:rPr>
        <w:t>ow sample.</w:t>
      </w:r>
    </w:p>
    <w:p w:rsidR="0035742C" w:rsidRPr="00FD5457" w:rsidP="00FD5457" w14:paraId="767DAB53" w14:textId="77777777">
      <w:pPr>
        <w:numPr>
          <w:ilvl w:val="0"/>
          <w:numId w:val="19"/>
        </w:numPr>
        <w:suppressAutoHyphens/>
        <w:autoSpaceDE w:val="0"/>
        <w:spacing w:line="276" w:lineRule="auto"/>
        <w:ind w:left="1080"/>
        <w:rPr>
          <w:rFonts w:ascii="Arial" w:hAnsi="Arial" w:cs="Arial"/>
          <w:sz w:val="22"/>
          <w:szCs w:val="20"/>
        </w:rPr>
      </w:pPr>
      <w:r w:rsidRPr="00FD5457">
        <w:rPr>
          <w:rFonts w:ascii="Arial" w:hAnsi="Arial" w:cs="Arial"/>
          <w:sz w:val="22"/>
          <w:szCs w:val="20"/>
        </w:rPr>
        <w:t>Carryover studies can</w:t>
      </w:r>
      <w:r w:rsidRPr="00FD5457">
        <w:rPr>
          <w:rFonts w:ascii="Arial" w:hAnsi="Arial" w:cs="Arial"/>
          <w:sz w:val="22"/>
          <w:szCs w:val="20"/>
        </w:rPr>
        <w:t xml:space="preserve"> be performed by testing known high patient samples followed by known low patient samples to see if the resul</w:t>
      </w:r>
      <w:r w:rsidRPr="00FD5457">
        <w:rPr>
          <w:rFonts w:ascii="Arial" w:hAnsi="Arial" w:cs="Arial"/>
          <w:sz w:val="22"/>
          <w:szCs w:val="20"/>
        </w:rPr>
        <w:t>ts of the low-level material is</w:t>
      </w:r>
      <w:r w:rsidRPr="00FD5457">
        <w:rPr>
          <w:rFonts w:ascii="Arial" w:hAnsi="Arial" w:cs="Arial"/>
          <w:sz w:val="22"/>
          <w:szCs w:val="20"/>
        </w:rPr>
        <w:t xml:space="preserve"> affected.  If carryover is detected</w:t>
      </w:r>
      <w:r w:rsidRPr="00FD5457">
        <w:rPr>
          <w:rFonts w:ascii="Arial" w:hAnsi="Arial" w:cs="Arial"/>
          <w:sz w:val="22"/>
          <w:szCs w:val="20"/>
        </w:rPr>
        <w:t>,</w:t>
      </w:r>
      <w:r w:rsidRPr="00FD5457">
        <w:rPr>
          <w:rFonts w:ascii="Arial" w:hAnsi="Arial" w:cs="Arial"/>
          <w:sz w:val="22"/>
          <w:szCs w:val="20"/>
        </w:rPr>
        <w:t xml:space="preserve"> the laboratory must determine the analyte concentration above which subsequent samples may be affected and define this value in the procedure. </w:t>
      </w:r>
    </w:p>
    <w:p w:rsidR="0035742C" w:rsidRPr="00FD5457" w:rsidP="00FD5457" w14:paraId="4E22932D" w14:textId="2BB584A3">
      <w:pPr>
        <w:numPr>
          <w:ilvl w:val="0"/>
          <w:numId w:val="19"/>
        </w:numPr>
        <w:suppressAutoHyphens/>
        <w:autoSpaceDE w:val="0"/>
        <w:spacing w:line="276" w:lineRule="auto"/>
        <w:ind w:left="1080"/>
        <w:rPr>
          <w:rFonts w:ascii="Arial" w:hAnsi="Arial" w:cs="Arial"/>
          <w:color w:val="000080"/>
          <w:sz w:val="22"/>
          <w:szCs w:val="20"/>
        </w:rPr>
      </w:pPr>
      <w:r w:rsidRPr="00FD5457">
        <w:rPr>
          <w:rFonts w:ascii="Arial" w:hAnsi="Arial" w:cs="Arial"/>
          <w:sz w:val="22"/>
          <w:szCs w:val="20"/>
        </w:rPr>
        <w:t xml:space="preserve">Carryover will be determined by testing the </w:t>
      </w:r>
      <w:r w:rsidRPr="00FD5457" w:rsidR="00FD5457">
        <w:rPr>
          <w:rFonts w:ascii="Arial" w:hAnsi="Arial" w:cs="Arial"/>
          <w:sz w:val="22"/>
          <w:szCs w:val="20"/>
        </w:rPr>
        <w:t>high-level</w:t>
      </w:r>
      <w:r w:rsidRPr="00FD5457">
        <w:rPr>
          <w:rFonts w:ascii="Arial" w:hAnsi="Arial" w:cs="Arial"/>
          <w:sz w:val="22"/>
          <w:szCs w:val="20"/>
        </w:rPr>
        <w:t xml:space="preserve"> commercial linearity samples provided by </w:t>
      </w:r>
      <w:r w:rsidRPr="00FD5457" w:rsidR="00FD5457">
        <w:rPr>
          <w:rFonts w:ascii="Arial" w:hAnsi="Arial" w:cs="Arial"/>
          <w:color w:val="4472C4" w:themeColor="accent1"/>
          <w:sz w:val="22"/>
          <w:szCs w:val="20"/>
        </w:rPr>
        <w:t>(insert provider)</w:t>
      </w:r>
      <w:r w:rsidRPr="00FD5457">
        <w:rPr>
          <w:rFonts w:ascii="Arial" w:hAnsi="Arial" w:cs="Arial"/>
          <w:color w:val="4472C4" w:themeColor="accent1"/>
          <w:sz w:val="22"/>
          <w:szCs w:val="20"/>
        </w:rPr>
        <w:t xml:space="preserve"> </w:t>
      </w:r>
      <w:r w:rsidRPr="00FD5457">
        <w:rPr>
          <w:rFonts w:ascii="Arial" w:hAnsi="Arial" w:cs="Arial"/>
          <w:sz w:val="22"/>
          <w:szCs w:val="20"/>
        </w:rPr>
        <w:t>followed by known low level patient samples tested in the following configuration:</w:t>
      </w:r>
      <w:r w:rsidRPr="00FD5457">
        <w:rPr>
          <w:rFonts w:ascii="Arial" w:hAnsi="Arial" w:cs="Arial"/>
          <w:color w:val="000080"/>
          <w:sz w:val="22"/>
          <w:szCs w:val="20"/>
        </w:rPr>
        <w:t xml:space="preserve"> </w:t>
      </w:r>
      <w:r w:rsidRPr="00700039" w:rsidR="00700039">
        <w:rPr>
          <w:rFonts w:ascii="Arial" w:hAnsi="Arial" w:cs="Arial"/>
          <w:color w:val="4472C4" w:themeColor="accent1"/>
          <w:sz w:val="22"/>
          <w:szCs w:val="20"/>
        </w:rPr>
        <w:t>(</w:t>
      </w:r>
      <w:r w:rsidRPr="00700039">
        <w:rPr>
          <w:rFonts w:ascii="Arial" w:hAnsi="Arial" w:cs="Arial"/>
          <w:color w:val="4472C4" w:themeColor="accent1"/>
          <w:sz w:val="22"/>
          <w:szCs w:val="20"/>
        </w:rPr>
        <w:t>L1/L2/L3/H1/H2/L4/H3/H4/L5/L6/L7/L8/H5/H6/L9/H7/H8/L10/H9/H10/L11</w:t>
      </w:r>
      <w:r w:rsidR="00700039">
        <w:rPr>
          <w:rFonts w:ascii="Arial" w:hAnsi="Arial" w:cs="Arial"/>
          <w:color w:val="4472C4" w:themeColor="accent1"/>
          <w:sz w:val="22"/>
          <w:szCs w:val="20"/>
        </w:rPr>
        <w:t>)</w:t>
      </w:r>
    </w:p>
    <w:p w:rsidR="0035742C" w:rsidRPr="00FD5457" w:rsidP="00FD5457" w14:paraId="1F750149" w14:textId="77777777">
      <w:pPr>
        <w:numPr>
          <w:ilvl w:val="0"/>
          <w:numId w:val="19"/>
        </w:numPr>
        <w:suppressAutoHyphens/>
        <w:autoSpaceDE w:val="0"/>
        <w:spacing w:line="276" w:lineRule="auto"/>
        <w:ind w:left="1080"/>
        <w:rPr>
          <w:rFonts w:ascii="Arial" w:hAnsi="Arial" w:cs="Arial"/>
          <w:sz w:val="22"/>
          <w:szCs w:val="20"/>
        </w:rPr>
      </w:pPr>
      <w:r w:rsidRPr="00FD5457">
        <w:rPr>
          <w:rFonts w:ascii="Arial" w:hAnsi="Arial" w:cs="Arial"/>
          <w:sz w:val="22"/>
          <w:szCs w:val="20"/>
        </w:rPr>
        <w:t xml:space="preserve">Acceptability criteria: Three times the lowest low SD. This is the SD that would be acceptable if no high samples were present.  </w:t>
      </w:r>
    </w:p>
    <w:p w:rsidR="00E70B6E" w:rsidRPr="00211A50" w:rsidP="00211A50" w14:paraId="66BF227C" w14:textId="77777777">
      <w:pPr>
        <w:spacing w:line="276" w:lineRule="auto"/>
        <w:rPr>
          <w:rFonts w:ascii="Arial" w:hAnsi="Arial" w:cs="Arial"/>
          <w:b/>
          <w:sz w:val="22"/>
          <w:szCs w:val="22"/>
        </w:rPr>
      </w:pPr>
    </w:p>
    <w:tbl>
      <w:tblPr>
        <w:tblStyle w:val="TableGrid"/>
        <w:tblW w:w="0" w:type="auto"/>
        <w:tblInd w:w="360" w:type="dxa"/>
        <w:tblLook w:val="04A0"/>
      </w:tblPr>
      <w:tblGrid>
        <w:gridCol w:w="1975"/>
        <w:gridCol w:w="6379"/>
      </w:tblGrid>
      <w:tr w14:paraId="191C8338" w14:textId="77777777" w:rsidTr="000D205F">
        <w:tblPrEx>
          <w:tblW w:w="0" w:type="auto"/>
          <w:tblInd w:w="360" w:type="dxa"/>
          <w:tblLook w:val="04A0"/>
        </w:tblPrEx>
        <w:trPr>
          <w:trHeight w:val="576"/>
        </w:trPr>
        <w:tc>
          <w:tcPr>
            <w:tcW w:w="1975" w:type="dxa"/>
            <w:shd w:val="clear" w:color="auto" w:fill="E7E6E6" w:themeFill="background2"/>
            <w:vAlign w:val="center"/>
          </w:tcPr>
          <w:p w:rsidR="00FD5457" w:rsidP="000D205F" w14:paraId="4D9AEE80" w14:textId="77777777">
            <w:pPr>
              <w:spacing w:line="276" w:lineRule="auto"/>
              <w:jc w:val="right"/>
              <w:rPr>
                <w:rFonts w:ascii="Arial" w:hAnsi="Arial" w:cs="Arial"/>
                <w:b/>
                <w:sz w:val="22"/>
                <w:szCs w:val="22"/>
              </w:rPr>
            </w:pPr>
            <w:r>
              <w:rPr>
                <w:rFonts w:ascii="Arial" w:hAnsi="Arial" w:cs="Arial"/>
                <w:b/>
                <w:sz w:val="22"/>
                <w:szCs w:val="22"/>
              </w:rPr>
              <w:t>Prepared By:</w:t>
            </w:r>
          </w:p>
        </w:tc>
        <w:tc>
          <w:tcPr>
            <w:tcW w:w="6379" w:type="dxa"/>
            <w:vAlign w:val="center"/>
          </w:tcPr>
          <w:p w:rsidR="00FD5457" w:rsidP="000D205F" w14:paraId="4BBC7D37" w14:textId="77777777">
            <w:pPr>
              <w:spacing w:line="276" w:lineRule="auto"/>
              <w:rPr>
                <w:rFonts w:ascii="Arial" w:hAnsi="Arial" w:cs="Arial"/>
                <w:b/>
                <w:sz w:val="22"/>
                <w:szCs w:val="22"/>
              </w:rPr>
            </w:pPr>
          </w:p>
        </w:tc>
      </w:tr>
      <w:tr w14:paraId="06FFD645" w14:textId="77777777" w:rsidTr="000D205F">
        <w:tblPrEx>
          <w:tblW w:w="0" w:type="auto"/>
          <w:tblInd w:w="360" w:type="dxa"/>
          <w:tblLook w:val="04A0"/>
        </w:tblPrEx>
        <w:trPr>
          <w:trHeight w:val="576"/>
        </w:trPr>
        <w:tc>
          <w:tcPr>
            <w:tcW w:w="1975" w:type="dxa"/>
            <w:shd w:val="clear" w:color="auto" w:fill="E7E6E6" w:themeFill="background2"/>
            <w:vAlign w:val="center"/>
          </w:tcPr>
          <w:p w:rsidR="00FD5457" w:rsidP="000D205F" w14:paraId="75E2C5D2" w14:textId="77777777">
            <w:pPr>
              <w:spacing w:line="276" w:lineRule="auto"/>
              <w:jc w:val="right"/>
              <w:rPr>
                <w:rFonts w:ascii="Arial" w:hAnsi="Arial" w:cs="Arial"/>
                <w:b/>
                <w:sz w:val="22"/>
                <w:szCs w:val="22"/>
              </w:rPr>
            </w:pPr>
            <w:r>
              <w:rPr>
                <w:rFonts w:ascii="Arial" w:hAnsi="Arial" w:cs="Arial"/>
                <w:b/>
                <w:sz w:val="22"/>
                <w:szCs w:val="22"/>
              </w:rPr>
              <w:t>Date:</w:t>
            </w:r>
          </w:p>
        </w:tc>
        <w:tc>
          <w:tcPr>
            <w:tcW w:w="6379" w:type="dxa"/>
            <w:vAlign w:val="center"/>
          </w:tcPr>
          <w:p w:rsidR="00FD5457" w:rsidP="000D205F" w14:paraId="17CBF843" w14:textId="77777777">
            <w:pPr>
              <w:spacing w:line="276" w:lineRule="auto"/>
              <w:rPr>
                <w:rFonts w:ascii="Arial" w:hAnsi="Arial" w:cs="Arial"/>
                <w:b/>
                <w:sz w:val="22"/>
                <w:szCs w:val="22"/>
              </w:rPr>
            </w:pPr>
          </w:p>
        </w:tc>
      </w:tr>
    </w:tbl>
    <w:p w:rsidR="0049796F" w:rsidRPr="00211A50" w:rsidP="0049796F" w14:paraId="1FCBC3D3" w14:textId="77777777">
      <w:pPr>
        <w:spacing w:line="276" w:lineRule="auto"/>
        <w:rPr>
          <w:rFonts w:ascii="Arial" w:hAnsi="Arial" w:cs="Arial"/>
          <w:b/>
          <w:sz w:val="22"/>
          <w:szCs w:val="22"/>
        </w:rPr>
      </w:pPr>
    </w:p>
    <w:p w:rsidR="0035742C" w:rsidRPr="00211A50" w:rsidP="00211A50" w14:paraId="67243650" w14:textId="77777777">
      <w:pPr>
        <w:pStyle w:val="ListParagraph"/>
        <w:spacing w:line="276" w:lineRule="auto"/>
        <w:ind w:left="0"/>
        <w:rPr>
          <w:rFonts w:ascii="Arial" w:hAnsi="Arial" w:cs="Arial"/>
          <w:strike/>
          <w:sz w:val="20"/>
          <w:szCs w:val="20"/>
        </w:rPr>
      </w:pPr>
    </w:p>
    <w:p w:rsidR="0035742C" w:rsidRPr="00211A50" w:rsidP="00211A50" w14:paraId="734491E5" w14:textId="77777777">
      <w:pPr>
        <w:spacing w:line="276" w:lineRule="auto"/>
        <w:rPr>
          <w:rFonts w:ascii="Arial" w:hAnsi="Arial" w:cs="Arial"/>
          <w:b/>
          <w:sz w:val="22"/>
          <w:szCs w:val="22"/>
        </w:rPr>
      </w:pPr>
    </w:p>
    <w:p w:rsidR="00D767AA" w:rsidRPr="00211A50" w:rsidP="00211A50" w14:paraId="289E018B" w14:textId="77777777">
      <w:pPr>
        <w:spacing w:line="276" w:lineRule="auto"/>
        <w:rPr>
          <w:rFonts w:ascii="Arial" w:hAnsi="Arial" w:cs="Arial"/>
          <w:b/>
          <w:sz w:val="22"/>
          <w:szCs w:val="22"/>
        </w:rPr>
      </w:pPr>
    </w:p>
    <w:sectPr w:rsidSect="002C5A93">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4" type="#_x0000_t202" style="width:725pt;height:30pt;margin-top:0;margin-left:25pt;mso-position-horizontal-relative:page;mso-position-vertical:bottom;mso-position-vertical-relative:page;position:absolute;z-index:251663360" filled="f" fillcolor="gray" stroked="f">
          <v:path strokeok="f" textboxrect="0,0,21600,21600"/>
          <v:textbox>
            <w:txbxContent>
              <w:p>
                <w:r>
                  <w:rPr>
                    <w:sz w:val="18"/>
                  </w:rPr>
                  <w:t>Approved and current. Effective starting 02-Jun-2025. Last reviewed on 02-Jun-2025.</w:t>
                  <w:cr/>
                  <w:t xml:space="preserve">
VAL 2006 (version 2.0). Validation Plan for Quantitative Method. </w:t>
                </w:r>
                <w:r>
                  <w:rPr>
                    <w:sz w:val="18"/>
                  </w:rPr>
                  <w:t xml:space="preserve">Page </w:t>
                </w:r>
                <w:r>
                  <w:rPr>
                    <w:sz w:val="18"/>
                  </w:rPr>
                  <w:fldChar w:fldCharType="begin"/>
                </w:r>
                <w:r>
                  <w:rPr>
                    <w:sz w:val="18"/>
                  </w:rPr>
                  <w:instrText>PAGE</w:instrText>
                </w:r>
                <w:r>
                  <w:rPr>
                    <w:sz w:val="18"/>
                  </w:rPr>
                  <w:fldChar w:fldCharType="separate"/>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2" type="#_x0000_t202" style="width:725pt;height:30pt;margin-top:0;margin-left:25pt;mso-position-horizontal-relative:page;mso-position-vertical:bottom;mso-position-vertical-relative:page;position:absolute;z-index:251661312" filled="f" fillcolor="gray" stroked="f">
          <v:path strokeok="f" textboxrect="0,0,21600,21600"/>
          <v:textbox>
            <w:txbxContent>
              <w:p>
                <w:r>
                  <w:rPr>
                    <w:sz w:val="18"/>
                  </w:rPr>
                  <w:t>Approved and current. Effective starting 02-Jun-2025. Last reviewed on 02-Jun-2025.</w:t>
                  <w:cr/>
                  <w:t xml:space="preserve">
VAL 2006 (version 2.0). Validation Plan for Quantitative Method. </w:t>
                </w:r>
                <w:r>
                  <w:rPr>
                    <w:sz w:val="18"/>
                  </w:rPr>
                  <w:t xml:space="preserve">Page </w:t>
                </w:r>
                <w:r>
                  <w:rPr>
                    <w:sz w:val="18"/>
                  </w:rPr>
                  <w:fldChar w:fldCharType="begin"/>
                </w:r>
                <w:r>
                  <w:rPr>
                    <w:sz w:val="18"/>
                  </w:rPr>
                  <w:instrText>PAGE</w:instrText>
                </w:r>
                <w:r>
                  <w:rPr>
                    <w:sz w:val="18"/>
                  </w:rPr>
                  <w:fldChar w:fldCharType="separate"/>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3" type="#_x0000_t202" style="width:725pt;height:30pt;margin-top:0;margin-left:25pt;mso-position-horizontal-relative:page;mso-position-vertical:bottom;mso-position-vertical-relative:page;position:absolute;z-index:251662336" filled="f" fillcolor="gray" stroked="f">
          <v:path strokeok="f" textboxrect="0,0,21600,21600"/>
          <v:textbox>
            <w:txbxContent>
              <w:p>
                <w:r>
                  <w:rPr>
                    <w:sz w:val="18"/>
                  </w:rPr>
                  <w:t>Approved and current. Effective starting 02-Jun-2025. Last reviewed on 02-Jun-2025.</w:t>
                  <w:cr/>
                  <w:t xml:space="preserve">
VAL 2006 (version 2.0). Validation Plan for Quantitative Method. </w:t>
                </w:r>
                <w:r>
                  <w:rPr>
                    <w:sz w:val="18"/>
                  </w:rPr>
                  <w:t xml:space="preserve">Page </w:t>
                </w:r>
                <w:r>
                  <w:rPr>
                    <w:sz w:val="18"/>
                  </w:rPr>
                  <w:fldChar w:fldCharType="begin"/>
                </w:r>
                <w:r>
                  <w:rPr>
                    <w:sz w:val="18"/>
                  </w:rPr>
                  <w:instrText>PAGE</w:instrText>
                </w:r>
                <w:r>
                  <w:rPr>
                    <w:sz w:val="18"/>
                  </w:rPr>
                  <w:fldChar w:fldCharType="separate"/>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1" type="#_x0000_t202" style="width:500pt;height:30pt;margin-top:12pt;margin-left:25pt;mso-position-horizontal-relative:page;mso-position-vertical-relative:page;position:absolute;z-index:251660288" filled="f" stroked="f">
          <v:path strokeok="f" textboxrect="0,0,21600,21600"/>
          <v:textbox>
            <w:txbxContent>
              <w:p>
                <w:r>
                  <w:rPr>
                    <w:sz w:val="18"/>
                  </w:rPr>
                  <w:t>NOTICE: This document is an example only. It must be revised to reflect your lab’s specific processes and/or specific protocol requirements.</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A93" w:rsidRPr="002C5A93" w:rsidP="002C5A93" w14:paraId="6E96477E" w14:textId="77777777">
    <w:pPr>
      <w:pStyle w:val="DocumentName"/>
      <w:pBdr>
        <w:top w:val="none" w:sz="0" w:space="0" w:color="auto"/>
        <w:bottom w:val="none" w:sz="0" w:space="0" w:color="auto"/>
      </w:pBdr>
      <w:tabs>
        <w:tab w:val="left" w:pos="3990"/>
        <w:tab w:val="center" w:pos="4500"/>
      </w:tabs>
      <w:ind w:right="0"/>
      <w:jc w:val="center"/>
      <w:rPr>
        <w:rFonts w:ascii="Arial" w:hAnsi="Arial" w:cs="Arial"/>
        <w:b/>
        <w:color w:val="4472C4"/>
        <w:sz w:val="24"/>
      </w:rPr>
    </w:pPr>
    <w:r w:rsidRPr="002C5A93">
      <w:rPr>
        <w:rFonts w:ascii="Arial" w:hAnsi="Arial" w:cs="Arial"/>
        <w:b/>
        <w:color w:val="4472C4"/>
        <w:sz w:val="24"/>
      </w:rPr>
      <w:t>(Insert Laboratory Header Here)</w:t>
    </w:r>
    <w:r>
      <w:pict>
        <v:shapetype id="_x0000_t202" coordsize="21600,21600" o:spt="202" path="m,l,21600r21600,l21600,xe">
          <v:stroke joinstyle="miter"/>
          <v:path gradientshapeok="t" o:connecttype="rect"/>
        </v:shapetype>
        <v:shape id="_x0000_s2049" type="#_x0000_t202" style="width:500pt;height:30pt;margin-top:12pt;margin-left:25pt;mso-position-horizontal-relative:page;mso-position-vertical-relative:page;position:absolute;z-index:251658240" filled="f" stroked="f">
          <v:path strokeok="f" textboxrect="0,0,21600,21600"/>
          <v:textbox>
            <w:txbxContent>
              <w:p>
                <w:r>
                  <w:rPr>
                    <w:sz w:val="18"/>
                  </w:rPr>
                  <w:t>NOTICE: This document is an example only. It must be revised to reflect your lab’s specific processes and/or specific protocol requirements.</w:t>
                </w:r>
              </w:p>
            </w:txbxContent>
          </v:textbox>
        </v:shape>
      </w:pict>
    </w:r>
  </w:p>
  <w:p w:rsidR="007D7531" w:rsidRPr="002C5A93" w:rsidP="002C5A93" w14:paraId="1641978D" w14:textId="77777777">
    <w:pPr>
      <w:pStyle w:val="DocumentName"/>
      <w:pBdr>
        <w:top w:val="none" w:sz="0" w:space="0" w:color="auto"/>
        <w:bottom w:val="none" w:sz="0" w:space="0" w:color="auto"/>
      </w:pBdr>
      <w:tabs>
        <w:tab w:val="left" w:pos="3990"/>
        <w:tab w:val="center" w:pos="4500"/>
      </w:tabs>
      <w:ind w:right="0"/>
      <w:jc w:val="center"/>
      <w:rPr>
        <w:rFonts w:ascii="Arial" w:hAnsi="Arial" w:cs="Arial"/>
        <w:color w:val="4472C4"/>
        <w:sz w:val="18"/>
        <w:szCs w:val="18"/>
      </w:rPr>
    </w:pPr>
    <w:r w:rsidRPr="002C5A93">
      <w:rPr>
        <w:rFonts w:ascii="Arial" w:hAnsi="Arial" w:cs="Arial"/>
        <w:color w:val="4472C4"/>
        <w:sz w:val="18"/>
        <w:szCs w:val="18"/>
      </w:rPr>
      <w:t>(Include full laboratory name and address)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0" type="#_x0000_t202" style="width:500pt;height:30pt;margin-top:12pt;margin-left:25pt;mso-position-horizontal-relative:page;mso-position-vertical-relative:page;position:absolute;z-index:251659264" filled="f" stroked="f">
          <v:path strokeok="f" textboxrect="0,0,21600,21600"/>
          <v:textbox>
            <w:txbxContent>
              <w:p>
                <w:r>
                  <w:rPr>
                    <w:sz w:val="18"/>
                  </w:rPr>
                  <w:t>NOTICE: This document is an example only. It must be revised to reflect your lab’s specific processes and/or specific protocol requirements.</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117E10"/>
    <w:multiLevelType w:val="hybridMultilevel"/>
    <w:tmpl w:val="E4786904"/>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
    <w:nsid w:val="10D208EE"/>
    <w:multiLevelType w:val="hybridMultilevel"/>
    <w:tmpl w:val="4170F5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3821DC7"/>
    <w:multiLevelType w:val="hybridMultilevel"/>
    <w:tmpl w:val="483C8B6E"/>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1632237F"/>
    <w:multiLevelType w:val="hybridMultilevel"/>
    <w:tmpl w:val="E3D28686"/>
    <w:lvl w:ilvl="0">
      <w:start w:val="1"/>
      <w:numFmt w:val="lowerRoman"/>
      <w:lvlText w:val="%1."/>
      <w:lvlJc w:val="right"/>
      <w:pPr>
        <w:ind w:left="1800" w:hanging="360"/>
      </w:pPr>
      <w:rPr>
        <w:color w:val="auto"/>
      </w:rPr>
    </w:lvl>
    <w:lvl w:ilvl="1">
      <w:start w:val="1"/>
      <w:numFmt w:val="lowerRoman"/>
      <w:lvlText w:val="%2."/>
      <w:lvlJc w:val="right"/>
      <w:pPr>
        <w:ind w:left="2520" w:hanging="360"/>
      </w:pPr>
      <w:rPr>
        <w:color w:val="auto"/>
      </w:rPr>
    </w:lvl>
    <w:lvl w:ilvl="2">
      <w:start w:val="1"/>
      <w:numFmt w:val="decimal"/>
      <w:lvlText w:val="%3."/>
      <w:lvlJc w:val="left"/>
      <w:pPr>
        <w:ind w:left="3240" w:hanging="180"/>
      </w:pPr>
      <w:rPr>
        <w:rFonts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22583FC1"/>
    <w:multiLevelType w:val="hybridMultilevel"/>
    <w:tmpl w:val="2DE65436"/>
    <w:lvl w:ilvl="0">
      <w:start w:val="1"/>
      <w:numFmt w:val="lowerRoman"/>
      <w:lvlText w:val="%1."/>
      <w:lvlJc w:val="right"/>
      <w:pPr>
        <w:ind w:left="1800" w:hanging="360"/>
      </w:pPr>
      <w:rPr>
        <w:color w:val="auto"/>
      </w:rPr>
    </w:lvl>
    <w:lvl w:ilvl="1">
      <w:start w:val="1"/>
      <w:numFmt w:val="lowerRoman"/>
      <w:lvlText w:val="%2."/>
      <w:lvlJc w:val="right"/>
      <w:pPr>
        <w:ind w:left="2520" w:hanging="360"/>
      </w:pPr>
      <w:rPr>
        <w:color w:val="auto"/>
      </w:rPr>
    </w:lvl>
    <w:lvl w:ilvl="2">
      <w:start w:val="1"/>
      <w:numFmt w:val="decimal"/>
      <w:lvlText w:val="%3."/>
      <w:lvlJc w:val="left"/>
      <w:pPr>
        <w:ind w:left="3240" w:hanging="180"/>
      </w:pPr>
      <w:rPr>
        <w:rFonts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43E09EA"/>
    <w:multiLevelType w:val="hybridMultilevel"/>
    <w:tmpl w:val="190E70B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25696B39"/>
    <w:multiLevelType w:val="hybridMultilevel"/>
    <w:tmpl w:val="75386D24"/>
    <w:lvl w:ilvl="0">
      <w:start w:val="1"/>
      <w:numFmt w:val="lowerLetter"/>
      <w:lvlText w:val="%1."/>
      <w:lvlJc w:val="left"/>
      <w:pPr>
        <w:ind w:left="1080" w:hanging="360"/>
      </w:pPr>
      <w:rPr>
        <w:rFonts w:hint="default"/>
        <w:b w:val="0"/>
        <w:sz w:val="22"/>
        <w:szCs w:val="22"/>
      </w:rPr>
    </w:lvl>
    <w:lvl w:ilvl="1">
      <w:start w:val="1"/>
      <w:numFmt w:val="lowerLetter"/>
      <w:lvlText w:val="%2."/>
      <w:lvlJc w:val="left"/>
      <w:pPr>
        <w:ind w:left="1800" w:hanging="360"/>
      </w:pPr>
      <w:rPr>
        <w:b w:val="0"/>
        <w:color w:val="auto"/>
      </w:rPr>
    </w:lvl>
    <w:lvl w:ilvl="2">
      <w:start w:val="1"/>
      <w:numFmt w:val="lowerRoman"/>
      <w:lvlText w:val="%3."/>
      <w:lvlJc w:val="right"/>
      <w:pPr>
        <w:ind w:left="2520" w:hanging="180"/>
      </w:pPr>
      <w:rPr>
        <w:b w:val="0"/>
        <w:color w:val="auto"/>
        <w:sz w:val="24"/>
        <w:szCs w:val="24"/>
      </w:rPr>
    </w:lvl>
    <w:lvl w:ilvl="3">
      <w:start w:val="1"/>
      <w:numFmt w:val="decimal"/>
      <w:lvlText w:val="%4."/>
      <w:lvlJc w:val="left"/>
      <w:pPr>
        <w:ind w:left="3240" w:hanging="360"/>
      </w:pPr>
      <w:rPr>
        <w:b w:val="0"/>
      </w:rPr>
    </w:lvl>
    <w:lvl w:ilvl="4">
      <w:start w:val="1"/>
      <w:numFmt w:val="lowerLetter"/>
      <w:lvlText w:val="%5."/>
      <w:lvlJc w:val="left"/>
      <w:pPr>
        <w:ind w:left="3960" w:hanging="360"/>
      </w:pPr>
      <w:rPr>
        <w:b w:val="0"/>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6D24911"/>
    <w:multiLevelType w:val="hybridMultilevel"/>
    <w:tmpl w:val="970E9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E91B36"/>
    <w:multiLevelType w:val="hybridMultilevel"/>
    <w:tmpl w:val="FC0E3326"/>
    <w:lvl w:ilvl="0">
      <w:start w:val="1"/>
      <w:numFmt w:val="lowerRoman"/>
      <w:lvlText w:val="%1."/>
      <w:lvlJc w:val="right"/>
      <w:pPr>
        <w:ind w:left="1800" w:hanging="360"/>
      </w:pPr>
      <w:rPr>
        <w:color w:val="auto"/>
      </w:rPr>
    </w:lvl>
    <w:lvl w:ilvl="1">
      <w:start w:val="1"/>
      <w:numFmt w:val="lowerRoman"/>
      <w:lvlText w:val="%2."/>
      <w:lvlJc w:val="right"/>
      <w:pPr>
        <w:ind w:left="2520" w:hanging="360"/>
      </w:pPr>
      <w:rPr>
        <w:color w:val="auto"/>
      </w:rPr>
    </w:lvl>
    <w:lvl w:ilvl="2">
      <w:start w:val="1"/>
      <w:numFmt w:val="decimal"/>
      <w:lvlText w:val="%3."/>
      <w:lvlJc w:val="left"/>
      <w:pPr>
        <w:ind w:left="3240" w:hanging="180"/>
      </w:pPr>
      <w:rPr>
        <w:rFonts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8FD0FF3"/>
    <w:multiLevelType w:val="hybridMultilevel"/>
    <w:tmpl w:val="CAF2565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4F0122"/>
    <w:multiLevelType w:val="hybridMultilevel"/>
    <w:tmpl w:val="FCC6C504"/>
    <w:lvl w:ilvl="0">
      <w:start w:val="1"/>
      <w:numFmt w:val="lowerLetter"/>
      <w:lvlText w:val="%1."/>
      <w:lvlJc w:val="left"/>
      <w:pPr>
        <w:ind w:left="1080" w:hanging="360"/>
      </w:pPr>
      <w:rPr>
        <w:rFonts w:hint="default"/>
        <w:b w:val="0"/>
        <w:sz w:val="22"/>
        <w:szCs w:val="22"/>
      </w:rPr>
    </w:lvl>
    <w:lvl w:ilvl="1">
      <w:start w:val="1"/>
      <w:numFmt w:val="lowerLetter"/>
      <w:lvlText w:val="%2."/>
      <w:lvlJc w:val="left"/>
      <w:pPr>
        <w:ind w:left="1800" w:hanging="360"/>
      </w:pPr>
      <w:rPr>
        <w:b w:val="0"/>
        <w:color w:val="auto"/>
      </w:rPr>
    </w:lvl>
    <w:lvl w:ilvl="2">
      <w:start w:val="1"/>
      <w:numFmt w:val="lowerRoman"/>
      <w:lvlText w:val="%3."/>
      <w:lvlJc w:val="right"/>
      <w:pPr>
        <w:ind w:left="2520" w:hanging="180"/>
      </w:pPr>
      <w:rPr>
        <w:b w:val="0"/>
        <w:color w:val="auto"/>
        <w:sz w:val="24"/>
        <w:szCs w:val="24"/>
      </w:rPr>
    </w:lvl>
    <w:lvl w:ilvl="3">
      <w:start w:val="1"/>
      <w:numFmt w:val="decimal"/>
      <w:lvlText w:val="%4."/>
      <w:lvlJc w:val="left"/>
      <w:pPr>
        <w:ind w:left="3240" w:hanging="360"/>
      </w:pPr>
      <w:rPr>
        <w:b w:val="0"/>
      </w:rPr>
    </w:lvl>
    <w:lvl w:ilvl="4">
      <w:start w:val="1"/>
      <w:numFmt w:val="lowerLetter"/>
      <w:lvlText w:val="%5."/>
      <w:lvlJc w:val="left"/>
      <w:pPr>
        <w:ind w:left="3960" w:hanging="360"/>
      </w:pPr>
      <w:rPr>
        <w:b w:val="0"/>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08F708B"/>
    <w:multiLevelType w:val="hybridMultilevel"/>
    <w:tmpl w:val="DD243ED6"/>
    <w:lvl w:ilvl="0">
      <w:start w:val="6"/>
      <w:numFmt w:val="decimal"/>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rPr>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318348F"/>
    <w:multiLevelType w:val="multilevel"/>
    <w:tmpl w:val="18F02E1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435004D6"/>
    <w:multiLevelType w:val="hybridMultilevel"/>
    <w:tmpl w:val="6E24EFCC"/>
    <w:lvl w:ilvl="0">
      <w:start w:val="1"/>
      <w:numFmt w:val="lowerLetter"/>
      <w:lvlText w:val="%1."/>
      <w:lvlJc w:val="left"/>
      <w:pPr>
        <w:ind w:left="1080" w:hanging="360"/>
      </w:pPr>
      <w:rPr>
        <w:color w:val="auto"/>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3C52AFA"/>
    <w:multiLevelType w:val="hybridMultilevel"/>
    <w:tmpl w:val="F1889316"/>
    <w:lvl w:ilvl="0">
      <w:start w:val="1"/>
      <w:numFmt w:val="decimal"/>
      <w:lvlText w:val="%1."/>
      <w:lvlJc w:val="left"/>
      <w:pPr>
        <w:ind w:left="1512" w:hanging="360"/>
      </w:pPr>
      <w:rPr>
        <w:rFonts w:hint="default"/>
        <w:sz w:val="24"/>
        <w:szCs w:val="24"/>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15">
    <w:nsid w:val="486E5D8C"/>
    <w:multiLevelType w:val="hybridMultilevel"/>
    <w:tmpl w:val="34DA0E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AA60F5"/>
    <w:multiLevelType w:val="hybridMultilevel"/>
    <w:tmpl w:val="3A96EC76"/>
    <w:lvl w:ilvl="0">
      <w:start w:val="1"/>
      <w:numFmt w:val="upperRoman"/>
      <w:lvlText w:val="%1."/>
      <w:lvlJc w:val="left"/>
      <w:pPr>
        <w:tabs>
          <w:tab w:val="num" w:pos="540"/>
        </w:tabs>
        <w:ind w:left="540" w:hanging="180"/>
      </w:pPr>
      <w:rPr>
        <w:rFonts w:hint="default"/>
      </w:rPr>
    </w:lvl>
    <w:lvl w:ilvl="1">
      <w:start w:val="1"/>
      <w:numFmt w:val="upperLetter"/>
      <w:lvlText w:val="%2."/>
      <w:lvlJc w:val="left"/>
      <w:pPr>
        <w:tabs>
          <w:tab w:val="num" w:pos="1350"/>
        </w:tabs>
        <w:ind w:left="135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ascii="Arial" w:eastAsia="Calibri" w:hAnsi="Arial" w:cs="Arial"/>
      </w:r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color w:val="0070C0"/>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A0311CD"/>
    <w:multiLevelType w:val="hybridMultilevel"/>
    <w:tmpl w:val="3EEA0344"/>
    <w:lvl w:ilvl="0">
      <w:start w:val="1"/>
      <w:numFmt w:val="lowerLetter"/>
      <w:lvlText w:val="%1."/>
      <w:lvlJc w:val="left"/>
      <w:pPr>
        <w:ind w:left="1080" w:hanging="360"/>
      </w:pPr>
      <w:rPr>
        <w:b w:val="0"/>
      </w:rPr>
    </w:lvl>
    <w:lvl w:ilvl="1">
      <w:start w:val="1"/>
      <w:numFmt w:val="lowerRoman"/>
      <w:lvlText w:val="%2."/>
      <w:lvlJc w:val="right"/>
      <w:pPr>
        <w:ind w:left="1800" w:hanging="360"/>
      </w:pPr>
      <w:rPr>
        <w:b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B7F7FF3"/>
    <w:multiLevelType w:val="hybridMultilevel"/>
    <w:tmpl w:val="E4C4B9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C27C60"/>
    <w:multiLevelType w:val="hybridMultilevel"/>
    <w:tmpl w:val="A704CB08"/>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sz w:val="24"/>
        <w:szCs w:val="24"/>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F34E0B"/>
    <w:multiLevelType w:val="hybridMultilevel"/>
    <w:tmpl w:val="980460E2"/>
    <w:lvl w:ilvl="0">
      <w:start w:val="1"/>
      <w:numFmt w:val="lowerLetter"/>
      <w:lvlText w:val="%1."/>
      <w:lvlJc w:val="left"/>
      <w:pPr>
        <w:ind w:left="144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C1B57"/>
    <w:multiLevelType w:val="hybridMultilevel"/>
    <w:tmpl w:val="3CCA8C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6401338E"/>
    <w:multiLevelType w:val="hybridMultilevel"/>
    <w:tmpl w:val="FC864C28"/>
    <w:lvl w:ilvl="0">
      <w:start w:val="1"/>
      <w:numFmt w:val="upperRoman"/>
      <w:lvlText w:val="%1."/>
      <w:lvlJc w:val="right"/>
      <w:pPr>
        <w:ind w:left="1800" w:hanging="360"/>
      </w:pPr>
      <w:rPr>
        <w:color w:val="auto"/>
      </w:rPr>
    </w:lvl>
    <w:lvl w:ilvl="1">
      <w:start w:val="1"/>
      <w:numFmt w:val="lowerRoman"/>
      <w:lvlText w:val="%2."/>
      <w:lvlJc w:val="right"/>
      <w:pPr>
        <w:ind w:left="2520" w:hanging="360"/>
      </w:pPr>
      <w:rPr>
        <w:color w:val="auto"/>
      </w:rPr>
    </w:lvl>
    <w:lvl w:ilvl="2">
      <w:start w:val="1"/>
      <w:numFmt w:val="decimal"/>
      <w:lvlText w:val="%3."/>
      <w:lvlJc w:val="left"/>
      <w:pPr>
        <w:ind w:left="3240" w:hanging="180"/>
      </w:pPr>
      <w:rPr>
        <w:rFonts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642522E9"/>
    <w:multiLevelType w:val="hybridMultilevel"/>
    <w:tmpl w:val="978AEE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A2D0DF0"/>
    <w:multiLevelType w:val="hybridMultilevel"/>
    <w:tmpl w:val="AFCE1A4A"/>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sz w:val="24"/>
        <w:szCs w:val="24"/>
      </w:r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8D3B10"/>
    <w:multiLevelType w:val="hybridMultilevel"/>
    <w:tmpl w:val="164A89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224"/>
    <w:multiLevelType w:val="hybridMultilevel"/>
    <w:tmpl w:val="C0121A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D5C4451"/>
    <w:multiLevelType w:val="hybridMultilevel"/>
    <w:tmpl w:val="32BA8332"/>
    <w:lvl w:ilvl="0">
      <w:start w:val="1"/>
      <w:numFmt w:val="lowerLetter"/>
      <w:lvlText w:val="%1."/>
      <w:lvlJc w:val="left"/>
      <w:pPr>
        <w:ind w:left="1800" w:hanging="360"/>
      </w:pPr>
      <w:rPr>
        <w:color w:val="auto"/>
      </w:rPr>
    </w:lvl>
    <w:lvl w:ilvl="1">
      <w:start w:val="1"/>
      <w:numFmt w:val="lowerRoman"/>
      <w:lvlText w:val="%2."/>
      <w:lvlJc w:val="right"/>
      <w:pPr>
        <w:ind w:left="2520" w:hanging="360"/>
      </w:pPr>
      <w:rPr>
        <w:color w:val="auto"/>
      </w:rPr>
    </w:lvl>
    <w:lvl w:ilvl="2">
      <w:start w:val="1"/>
      <w:numFmt w:val="decimal"/>
      <w:lvlText w:val="%3."/>
      <w:lvlJc w:val="left"/>
      <w:pPr>
        <w:ind w:left="3240" w:hanging="180"/>
      </w:pPr>
      <w:rPr>
        <w:rFonts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69B5D58"/>
    <w:multiLevelType w:val="hybridMultilevel"/>
    <w:tmpl w:val="AC604F92"/>
    <w:lvl w:ilvl="0">
      <w:start w:val="3"/>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9D8308A"/>
    <w:multiLevelType w:val="hybridMultilevel"/>
    <w:tmpl w:val="076C19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587CFB"/>
    <w:multiLevelType w:val="hybridMultilevel"/>
    <w:tmpl w:val="F74CA32C"/>
    <w:lvl w:ilvl="0">
      <w:start w:val="1"/>
      <w:numFmt w:val="lowerRoman"/>
      <w:lvlText w:val="%1."/>
      <w:lvlJc w:val="right"/>
      <w:pPr>
        <w:ind w:left="1800" w:hanging="360"/>
      </w:pPr>
      <w:rPr>
        <w:color w:val="auto"/>
      </w:rPr>
    </w:lvl>
    <w:lvl w:ilvl="1">
      <w:start w:val="1"/>
      <w:numFmt w:val="lowerRoman"/>
      <w:lvlText w:val="%2."/>
      <w:lvlJc w:val="right"/>
      <w:pPr>
        <w:ind w:left="2520" w:hanging="360"/>
      </w:pPr>
      <w:rPr>
        <w:color w:val="auto"/>
      </w:rPr>
    </w:lvl>
    <w:lvl w:ilvl="2">
      <w:start w:val="1"/>
      <w:numFmt w:val="decimal"/>
      <w:lvlText w:val="%3."/>
      <w:lvlJc w:val="left"/>
      <w:pPr>
        <w:ind w:left="3240" w:hanging="180"/>
      </w:pPr>
      <w:rPr>
        <w:rFonts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CF211CC"/>
    <w:multiLevelType w:val="hybridMultilevel"/>
    <w:tmpl w:val="3ABA82C6"/>
    <w:lvl w:ilvl="0">
      <w:start w:val="1"/>
      <w:numFmt w:val="upperRoman"/>
      <w:lvlText w:val="%1."/>
      <w:lvlJc w:val="left"/>
      <w:pPr>
        <w:ind w:left="1080" w:hanging="72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FA8148E"/>
    <w:multiLevelType w:val="hybridMultilevel"/>
    <w:tmpl w:val="71D8E678"/>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abstractNumId w:val="23"/>
  </w:num>
  <w:num w:numId="2">
    <w:abstractNumId w:val="15"/>
  </w:num>
  <w:num w:numId="3">
    <w:abstractNumId w:val="29"/>
  </w:num>
  <w:num w:numId="4">
    <w:abstractNumId w:val="9"/>
  </w:num>
  <w:num w:numId="5">
    <w:abstractNumId w:val="10"/>
  </w:num>
  <w:num w:numId="6">
    <w:abstractNumId w:val="13"/>
  </w:num>
  <w:num w:numId="7">
    <w:abstractNumId w:val="25"/>
  </w:num>
  <w:num w:numId="8">
    <w:abstractNumId w:val="7"/>
  </w:num>
  <w:num w:numId="9">
    <w:abstractNumId w:val="27"/>
  </w:num>
  <w:num w:numId="10">
    <w:abstractNumId w:val="18"/>
  </w:num>
  <w:num w:numId="11">
    <w:abstractNumId w:val="12"/>
  </w:num>
  <w:num w:numId="12">
    <w:abstractNumId w:val="14"/>
  </w:num>
  <w:num w:numId="13">
    <w:abstractNumId w:val="0"/>
  </w:num>
  <w:num w:numId="14">
    <w:abstractNumId w:val="24"/>
  </w:num>
  <w:num w:numId="15">
    <w:abstractNumId w:val="19"/>
  </w:num>
  <w:num w:numId="16">
    <w:abstractNumId w:val="16"/>
  </w:num>
  <w:num w:numId="17">
    <w:abstractNumId w:val="32"/>
  </w:num>
  <w:num w:numId="18">
    <w:abstractNumId w:val="11"/>
  </w:num>
  <w:num w:numId="19">
    <w:abstractNumId w:val="20"/>
  </w:num>
  <w:num w:numId="20">
    <w:abstractNumId w:val="1"/>
  </w:num>
  <w:num w:numId="21">
    <w:abstractNumId w:val="2"/>
  </w:num>
  <w:num w:numId="22">
    <w:abstractNumId w:val="1"/>
  </w:num>
  <w:num w:numId="23">
    <w:abstractNumId w:val="3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3"/>
  </w:num>
  <w:num w:numId="28">
    <w:abstractNumId w:val="28"/>
  </w:num>
  <w:num w:numId="29">
    <w:abstractNumId w:val="6"/>
  </w:num>
  <w:num w:numId="30">
    <w:abstractNumId w:val="22"/>
  </w:num>
  <w:num w:numId="31">
    <w:abstractNumId w:val="30"/>
  </w:num>
  <w:num w:numId="32">
    <w:abstractNumId w:val="5"/>
  </w:num>
  <w:num w:numId="33">
    <w:abstractNumId w:val="4"/>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30"/>
    <w:rsid w:val="0001618F"/>
    <w:rsid w:val="00017EA5"/>
    <w:rsid w:val="00020590"/>
    <w:rsid w:val="0002361C"/>
    <w:rsid w:val="000345AA"/>
    <w:rsid w:val="0005646F"/>
    <w:rsid w:val="00056698"/>
    <w:rsid w:val="00060E03"/>
    <w:rsid w:val="00075A4E"/>
    <w:rsid w:val="000861F2"/>
    <w:rsid w:val="00087597"/>
    <w:rsid w:val="0009726E"/>
    <w:rsid w:val="000A4A1E"/>
    <w:rsid w:val="000A5A21"/>
    <w:rsid w:val="000B0F8B"/>
    <w:rsid w:val="000C120C"/>
    <w:rsid w:val="000C1F5B"/>
    <w:rsid w:val="000C2A5D"/>
    <w:rsid w:val="000C4427"/>
    <w:rsid w:val="000D2026"/>
    <w:rsid w:val="000D205F"/>
    <w:rsid w:val="000E1368"/>
    <w:rsid w:val="0012384B"/>
    <w:rsid w:val="00123D0D"/>
    <w:rsid w:val="001260FD"/>
    <w:rsid w:val="00130983"/>
    <w:rsid w:val="0013168E"/>
    <w:rsid w:val="00143352"/>
    <w:rsid w:val="00164FA1"/>
    <w:rsid w:val="00184B6F"/>
    <w:rsid w:val="001940FA"/>
    <w:rsid w:val="001976BC"/>
    <w:rsid w:val="00197A93"/>
    <w:rsid w:val="001B042B"/>
    <w:rsid w:val="001B4310"/>
    <w:rsid w:val="001C0680"/>
    <w:rsid w:val="001C6552"/>
    <w:rsid w:val="001D20CF"/>
    <w:rsid w:val="001D65AF"/>
    <w:rsid w:val="001D6DB7"/>
    <w:rsid w:val="001F6681"/>
    <w:rsid w:val="001F7618"/>
    <w:rsid w:val="001F7B30"/>
    <w:rsid w:val="00200927"/>
    <w:rsid w:val="002017F3"/>
    <w:rsid w:val="00205D81"/>
    <w:rsid w:val="00207263"/>
    <w:rsid w:val="00210D28"/>
    <w:rsid w:val="00211105"/>
    <w:rsid w:val="00211A50"/>
    <w:rsid w:val="00211D28"/>
    <w:rsid w:val="00211EE9"/>
    <w:rsid w:val="002356F2"/>
    <w:rsid w:val="002446D0"/>
    <w:rsid w:val="00247F47"/>
    <w:rsid w:val="002508A2"/>
    <w:rsid w:val="00253B06"/>
    <w:rsid w:val="0026376F"/>
    <w:rsid w:val="00270DC7"/>
    <w:rsid w:val="00273CFC"/>
    <w:rsid w:val="0028005E"/>
    <w:rsid w:val="002802C2"/>
    <w:rsid w:val="0029114E"/>
    <w:rsid w:val="002966E9"/>
    <w:rsid w:val="002A1A37"/>
    <w:rsid w:val="002B1C1E"/>
    <w:rsid w:val="002B3D29"/>
    <w:rsid w:val="002C5A93"/>
    <w:rsid w:val="002F08E0"/>
    <w:rsid w:val="002F7E68"/>
    <w:rsid w:val="00300323"/>
    <w:rsid w:val="00305421"/>
    <w:rsid w:val="0030720E"/>
    <w:rsid w:val="00312A23"/>
    <w:rsid w:val="00313323"/>
    <w:rsid w:val="003138EC"/>
    <w:rsid w:val="00313E4A"/>
    <w:rsid w:val="0031516F"/>
    <w:rsid w:val="003158E5"/>
    <w:rsid w:val="003165F1"/>
    <w:rsid w:val="003221B6"/>
    <w:rsid w:val="003224D6"/>
    <w:rsid w:val="00332CC0"/>
    <w:rsid w:val="00332F8A"/>
    <w:rsid w:val="00342B85"/>
    <w:rsid w:val="00351AB4"/>
    <w:rsid w:val="0035742C"/>
    <w:rsid w:val="003672F1"/>
    <w:rsid w:val="00371005"/>
    <w:rsid w:val="003713D5"/>
    <w:rsid w:val="0037447E"/>
    <w:rsid w:val="0037606D"/>
    <w:rsid w:val="00381E2C"/>
    <w:rsid w:val="00386A86"/>
    <w:rsid w:val="003915AC"/>
    <w:rsid w:val="0039406B"/>
    <w:rsid w:val="003953ED"/>
    <w:rsid w:val="003B658B"/>
    <w:rsid w:val="003C0FF4"/>
    <w:rsid w:val="003C311D"/>
    <w:rsid w:val="003C4B2F"/>
    <w:rsid w:val="003E0FF8"/>
    <w:rsid w:val="003F2462"/>
    <w:rsid w:val="003F2CEE"/>
    <w:rsid w:val="003F56E2"/>
    <w:rsid w:val="004011D8"/>
    <w:rsid w:val="004043E7"/>
    <w:rsid w:val="00405C6C"/>
    <w:rsid w:val="00413852"/>
    <w:rsid w:val="00420CC9"/>
    <w:rsid w:val="004211A2"/>
    <w:rsid w:val="00430139"/>
    <w:rsid w:val="00432BDE"/>
    <w:rsid w:val="004356E7"/>
    <w:rsid w:val="0044669E"/>
    <w:rsid w:val="00450B47"/>
    <w:rsid w:val="00457883"/>
    <w:rsid w:val="00462A75"/>
    <w:rsid w:val="00481212"/>
    <w:rsid w:val="004827A3"/>
    <w:rsid w:val="00486EBE"/>
    <w:rsid w:val="0049796F"/>
    <w:rsid w:val="004A5972"/>
    <w:rsid w:val="004A73C7"/>
    <w:rsid w:val="004D74A4"/>
    <w:rsid w:val="004E3BDA"/>
    <w:rsid w:val="004F1D1A"/>
    <w:rsid w:val="004F5BDA"/>
    <w:rsid w:val="00500826"/>
    <w:rsid w:val="0050088B"/>
    <w:rsid w:val="00506690"/>
    <w:rsid w:val="00506C79"/>
    <w:rsid w:val="00514900"/>
    <w:rsid w:val="00515EDA"/>
    <w:rsid w:val="005178A2"/>
    <w:rsid w:val="00537476"/>
    <w:rsid w:val="00542C8D"/>
    <w:rsid w:val="00547A1C"/>
    <w:rsid w:val="00552B88"/>
    <w:rsid w:val="00555E73"/>
    <w:rsid w:val="0056598F"/>
    <w:rsid w:val="0056758A"/>
    <w:rsid w:val="00571F7D"/>
    <w:rsid w:val="00575F57"/>
    <w:rsid w:val="00581D97"/>
    <w:rsid w:val="00596350"/>
    <w:rsid w:val="005D1E28"/>
    <w:rsid w:val="005D2389"/>
    <w:rsid w:val="005E0135"/>
    <w:rsid w:val="005E0985"/>
    <w:rsid w:val="005F12C3"/>
    <w:rsid w:val="005F30FB"/>
    <w:rsid w:val="005F4910"/>
    <w:rsid w:val="005F71A9"/>
    <w:rsid w:val="00607CBC"/>
    <w:rsid w:val="00622410"/>
    <w:rsid w:val="00623DA5"/>
    <w:rsid w:val="00626FBC"/>
    <w:rsid w:val="00634766"/>
    <w:rsid w:val="006446BB"/>
    <w:rsid w:val="00646FBE"/>
    <w:rsid w:val="00650106"/>
    <w:rsid w:val="006527A1"/>
    <w:rsid w:val="0066112F"/>
    <w:rsid w:val="006639CA"/>
    <w:rsid w:val="00664D1D"/>
    <w:rsid w:val="006654A8"/>
    <w:rsid w:val="00681F9F"/>
    <w:rsid w:val="00693B5D"/>
    <w:rsid w:val="006A7DF5"/>
    <w:rsid w:val="006B032B"/>
    <w:rsid w:val="006C7B44"/>
    <w:rsid w:val="006E1802"/>
    <w:rsid w:val="006E4AEE"/>
    <w:rsid w:val="006E63F0"/>
    <w:rsid w:val="006E6600"/>
    <w:rsid w:val="00700039"/>
    <w:rsid w:val="00744DE1"/>
    <w:rsid w:val="00746619"/>
    <w:rsid w:val="00746955"/>
    <w:rsid w:val="00746ADC"/>
    <w:rsid w:val="007522E8"/>
    <w:rsid w:val="0076083A"/>
    <w:rsid w:val="00773EB0"/>
    <w:rsid w:val="00786347"/>
    <w:rsid w:val="00791334"/>
    <w:rsid w:val="00792312"/>
    <w:rsid w:val="007A0C1B"/>
    <w:rsid w:val="007B4A2B"/>
    <w:rsid w:val="007B6832"/>
    <w:rsid w:val="007C4EAA"/>
    <w:rsid w:val="007D07CC"/>
    <w:rsid w:val="007D7531"/>
    <w:rsid w:val="007E2722"/>
    <w:rsid w:val="007F5CF9"/>
    <w:rsid w:val="007F64F4"/>
    <w:rsid w:val="00811404"/>
    <w:rsid w:val="00816E8C"/>
    <w:rsid w:val="0082033F"/>
    <w:rsid w:val="00822AB2"/>
    <w:rsid w:val="008238E3"/>
    <w:rsid w:val="00823AAA"/>
    <w:rsid w:val="008272BC"/>
    <w:rsid w:val="00850FB6"/>
    <w:rsid w:val="00853B0F"/>
    <w:rsid w:val="00855AEA"/>
    <w:rsid w:val="00856BC7"/>
    <w:rsid w:val="00861114"/>
    <w:rsid w:val="008940C2"/>
    <w:rsid w:val="008A0F92"/>
    <w:rsid w:val="008B2AC6"/>
    <w:rsid w:val="008B4EBC"/>
    <w:rsid w:val="008C1322"/>
    <w:rsid w:val="008C4149"/>
    <w:rsid w:val="008D0A68"/>
    <w:rsid w:val="008F565F"/>
    <w:rsid w:val="008F6BAD"/>
    <w:rsid w:val="0090443B"/>
    <w:rsid w:val="009048AA"/>
    <w:rsid w:val="00905804"/>
    <w:rsid w:val="00905974"/>
    <w:rsid w:val="009251D7"/>
    <w:rsid w:val="009536ED"/>
    <w:rsid w:val="00955B57"/>
    <w:rsid w:val="009576E2"/>
    <w:rsid w:val="00975726"/>
    <w:rsid w:val="00982FC0"/>
    <w:rsid w:val="009830FB"/>
    <w:rsid w:val="00985235"/>
    <w:rsid w:val="00987803"/>
    <w:rsid w:val="00996301"/>
    <w:rsid w:val="009A08F2"/>
    <w:rsid w:val="009B2B70"/>
    <w:rsid w:val="009C390F"/>
    <w:rsid w:val="009C3B07"/>
    <w:rsid w:val="009C5CF9"/>
    <w:rsid w:val="009D5F12"/>
    <w:rsid w:val="00A042CB"/>
    <w:rsid w:val="00A05E80"/>
    <w:rsid w:val="00A10B6D"/>
    <w:rsid w:val="00A150CA"/>
    <w:rsid w:val="00A161B0"/>
    <w:rsid w:val="00A17AD4"/>
    <w:rsid w:val="00A17CDE"/>
    <w:rsid w:val="00A20614"/>
    <w:rsid w:val="00A21F35"/>
    <w:rsid w:val="00A37295"/>
    <w:rsid w:val="00A37EB7"/>
    <w:rsid w:val="00A41233"/>
    <w:rsid w:val="00A520AD"/>
    <w:rsid w:val="00A75CE2"/>
    <w:rsid w:val="00A835BF"/>
    <w:rsid w:val="00A95A6C"/>
    <w:rsid w:val="00AA006C"/>
    <w:rsid w:val="00AA793C"/>
    <w:rsid w:val="00AB3511"/>
    <w:rsid w:val="00AB5E67"/>
    <w:rsid w:val="00AB615A"/>
    <w:rsid w:val="00AC2419"/>
    <w:rsid w:val="00AC4733"/>
    <w:rsid w:val="00AD73AF"/>
    <w:rsid w:val="00AD7D56"/>
    <w:rsid w:val="00AE41E4"/>
    <w:rsid w:val="00AE72FE"/>
    <w:rsid w:val="00AF19ED"/>
    <w:rsid w:val="00AF339C"/>
    <w:rsid w:val="00AF4F97"/>
    <w:rsid w:val="00AF735D"/>
    <w:rsid w:val="00B02E79"/>
    <w:rsid w:val="00B03B00"/>
    <w:rsid w:val="00B03F96"/>
    <w:rsid w:val="00B30CCC"/>
    <w:rsid w:val="00B61182"/>
    <w:rsid w:val="00B63136"/>
    <w:rsid w:val="00B83FF6"/>
    <w:rsid w:val="00B97481"/>
    <w:rsid w:val="00BA3CF2"/>
    <w:rsid w:val="00BB3D7A"/>
    <w:rsid w:val="00BD5C80"/>
    <w:rsid w:val="00BF1478"/>
    <w:rsid w:val="00BF1977"/>
    <w:rsid w:val="00C2327D"/>
    <w:rsid w:val="00C33B4D"/>
    <w:rsid w:val="00C47476"/>
    <w:rsid w:val="00C47681"/>
    <w:rsid w:val="00C64644"/>
    <w:rsid w:val="00C66EA7"/>
    <w:rsid w:val="00C72D53"/>
    <w:rsid w:val="00C77AF5"/>
    <w:rsid w:val="00C9013F"/>
    <w:rsid w:val="00CA7752"/>
    <w:rsid w:val="00CB6CB9"/>
    <w:rsid w:val="00CD3673"/>
    <w:rsid w:val="00CE6510"/>
    <w:rsid w:val="00CF4793"/>
    <w:rsid w:val="00D2026F"/>
    <w:rsid w:val="00D313DA"/>
    <w:rsid w:val="00D36EEF"/>
    <w:rsid w:val="00D376A8"/>
    <w:rsid w:val="00D427B0"/>
    <w:rsid w:val="00D530B6"/>
    <w:rsid w:val="00D532BD"/>
    <w:rsid w:val="00D67615"/>
    <w:rsid w:val="00D767AA"/>
    <w:rsid w:val="00D77049"/>
    <w:rsid w:val="00D8099A"/>
    <w:rsid w:val="00D80C39"/>
    <w:rsid w:val="00D9640D"/>
    <w:rsid w:val="00DA0F04"/>
    <w:rsid w:val="00DB10C7"/>
    <w:rsid w:val="00DC651B"/>
    <w:rsid w:val="00DD19BE"/>
    <w:rsid w:val="00DD33A7"/>
    <w:rsid w:val="00DD3D67"/>
    <w:rsid w:val="00DE51EB"/>
    <w:rsid w:val="00DF36D7"/>
    <w:rsid w:val="00E12508"/>
    <w:rsid w:val="00E129E5"/>
    <w:rsid w:val="00E210A7"/>
    <w:rsid w:val="00E233D6"/>
    <w:rsid w:val="00E43630"/>
    <w:rsid w:val="00E505AB"/>
    <w:rsid w:val="00E70B6E"/>
    <w:rsid w:val="00E7440A"/>
    <w:rsid w:val="00E83A73"/>
    <w:rsid w:val="00E866A3"/>
    <w:rsid w:val="00E966CB"/>
    <w:rsid w:val="00EA1775"/>
    <w:rsid w:val="00EA4F80"/>
    <w:rsid w:val="00EB05C9"/>
    <w:rsid w:val="00EB65D3"/>
    <w:rsid w:val="00EC18DA"/>
    <w:rsid w:val="00EC1D79"/>
    <w:rsid w:val="00ED2997"/>
    <w:rsid w:val="00EE2B4D"/>
    <w:rsid w:val="00EF3140"/>
    <w:rsid w:val="00F0178B"/>
    <w:rsid w:val="00F02871"/>
    <w:rsid w:val="00F0615B"/>
    <w:rsid w:val="00F1271C"/>
    <w:rsid w:val="00F14803"/>
    <w:rsid w:val="00F14D48"/>
    <w:rsid w:val="00F156BD"/>
    <w:rsid w:val="00F30F12"/>
    <w:rsid w:val="00F30F15"/>
    <w:rsid w:val="00F33CBB"/>
    <w:rsid w:val="00F42051"/>
    <w:rsid w:val="00F429E2"/>
    <w:rsid w:val="00F4314B"/>
    <w:rsid w:val="00F55A48"/>
    <w:rsid w:val="00F633CE"/>
    <w:rsid w:val="00F6379A"/>
    <w:rsid w:val="00F73E28"/>
    <w:rsid w:val="00F76744"/>
    <w:rsid w:val="00F8021A"/>
    <w:rsid w:val="00F84E10"/>
    <w:rsid w:val="00F8542A"/>
    <w:rsid w:val="00F8674B"/>
    <w:rsid w:val="00F910AC"/>
    <w:rsid w:val="00F97022"/>
    <w:rsid w:val="00FB1C7E"/>
    <w:rsid w:val="00FB1E3D"/>
    <w:rsid w:val="00FB2098"/>
    <w:rsid w:val="00FC7353"/>
    <w:rsid w:val="00FC7651"/>
    <w:rsid w:val="00FD2758"/>
    <w:rsid w:val="00FD5457"/>
    <w:rsid w:val="00FE2309"/>
    <w:rsid w:val="00FE310E"/>
    <w:rsid w:val="00FE4AD9"/>
    <w:rsid w:val="00FF01D1"/>
    <w:rsid w:val="00FF47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9B5F7A8-B3D9-4D05-B0A5-90934745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6D"/>
    <w:rPr>
      <w:sz w:val="24"/>
      <w:szCs w:val="24"/>
    </w:rPr>
  </w:style>
  <w:style w:type="paragraph" w:styleId="Heading1">
    <w:name w:val="heading 1"/>
    <w:basedOn w:val="Normal"/>
    <w:next w:val="Normal"/>
    <w:qFormat/>
    <w:rsid w:val="00332F8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0B6D"/>
    <w:pPr>
      <w:tabs>
        <w:tab w:val="center" w:pos="4320"/>
        <w:tab w:val="right" w:pos="8640"/>
      </w:tabs>
    </w:pPr>
  </w:style>
  <w:style w:type="paragraph" w:styleId="Footer">
    <w:name w:val="footer"/>
    <w:basedOn w:val="Normal"/>
    <w:rsid w:val="00A10B6D"/>
    <w:pPr>
      <w:tabs>
        <w:tab w:val="center" w:pos="4320"/>
        <w:tab w:val="right" w:pos="8640"/>
      </w:tabs>
    </w:pPr>
  </w:style>
  <w:style w:type="paragraph" w:styleId="DocumentMap">
    <w:name w:val="Document Map"/>
    <w:basedOn w:val="Normal"/>
    <w:semiHidden/>
    <w:rsid w:val="00332F8A"/>
    <w:pPr>
      <w:shd w:val="clear" w:color="auto" w:fill="000080"/>
    </w:pPr>
    <w:rPr>
      <w:rFonts w:ascii="Tahoma" w:hAnsi="Tahoma" w:cs="Tahoma"/>
    </w:rPr>
  </w:style>
  <w:style w:type="character" w:styleId="CommentReference">
    <w:name w:val="annotation reference"/>
    <w:semiHidden/>
    <w:rsid w:val="00087597"/>
    <w:rPr>
      <w:sz w:val="16"/>
      <w:szCs w:val="16"/>
    </w:rPr>
  </w:style>
  <w:style w:type="paragraph" w:styleId="CommentText">
    <w:name w:val="annotation text"/>
    <w:basedOn w:val="Normal"/>
    <w:semiHidden/>
    <w:rsid w:val="00087597"/>
    <w:rPr>
      <w:sz w:val="20"/>
      <w:szCs w:val="20"/>
    </w:rPr>
  </w:style>
  <w:style w:type="paragraph" w:styleId="CommentSubject">
    <w:name w:val="annotation subject"/>
    <w:basedOn w:val="CommentText"/>
    <w:next w:val="CommentText"/>
    <w:semiHidden/>
    <w:rsid w:val="00087597"/>
    <w:rPr>
      <w:b/>
      <w:bCs/>
    </w:rPr>
  </w:style>
  <w:style w:type="paragraph" w:styleId="BalloonText">
    <w:name w:val="Balloon Text"/>
    <w:basedOn w:val="Normal"/>
    <w:semiHidden/>
    <w:rsid w:val="00087597"/>
    <w:rPr>
      <w:rFonts w:ascii="Tahoma" w:hAnsi="Tahoma" w:cs="Tahoma"/>
      <w:sz w:val="16"/>
      <w:szCs w:val="16"/>
    </w:rPr>
  </w:style>
  <w:style w:type="paragraph" w:styleId="ListParagraph">
    <w:name w:val="List Paragraph"/>
    <w:basedOn w:val="Normal"/>
    <w:uiPriority w:val="34"/>
    <w:qFormat/>
    <w:rsid w:val="00DA0F04"/>
    <w:pPr>
      <w:ind w:left="720"/>
    </w:pPr>
  </w:style>
  <w:style w:type="table" w:styleId="TableGrid">
    <w:name w:val="Table Grid"/>
    <w:basedOn w:val="TableNormal"/>
    <w:uiPriority w:val="59"/>
    <w:rsid w:val="003C4B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7D07CC"/>
    <w:pPr>
      <w:tabs>
        <w:tab w:val="left" w:pos="1584"/>
        <w:tab w:val="left" w:pos="1944"/>
        <w:tab w:val="left" w:pos="2808"/>
        <w:tab w:val="left" w:pos="3672"/>
        <w:tab w:val="left" w:pos="4536"/>
        <w:tab w:val="left" w:pos="5400"/>
        <w:tab w:val="left" w:pos="6264"/>
        <w:tab w:val="left" w:pos="7128"/>
        <w:tab w:val="left" w:pos="7992"/>
        <w:tab w:val="left" w:pos="8856"/>
      </w:tabs>
      <w:suppressAutoHyphens/>
      <w:ind w:left="360"/>
    </w:pPr>
    <w:rPr>
      <w:szCs w:val="20"/>
      <w:lang w:val="en-GB"/>
    </w:rPr>
  </w:style>
  <w:style w:type="character" w:customStyle="1" w:styleId="BodyTextIndent2Char">
    <w:name w:val="Body Text Indent 2 Char"/>
    <w:link w:val="BodyTextIndent2"/>
    <w:rsid w:val="007D07CC"/>
    <w:rPr>
      <w:sz w:val="24"/>
      <w:lang w:val="en-GB"/>
    </w:rPr>
  </w:style>
  <w:style w:type="character" w:customStyle="1" w:styleId="HeaderChar">
    <w:name w:val="Header Char"/>
    <w:link w:val="Header"/>
    <w:rsid w:val="007D7531"/>
    <w:rPr>
      <w:sz w:val="24"/>
      <w:szCs w:val="24"/>
    </w:rPr>
  </w:style>
  <w:style w:type="paragraph" w:customStyle="1" w:styleId="DocumentName">
    <w:name w:val="DocumentName"/>
    <w:rsid w:val="00AD7D56"/>
    <w:pPr>
      <w:pBdr>
        <w:top w:val="single" w:sz="2" w:space="1" w:color="auto"/>
        <w:bottom w:val="single" w:sz="2" w:space="1" w:color="auto"/>
      </w:pBdr>
      <w:ind w:right="806"/>
    </w:pPr>
    <w:rPr>
      <w:rFonts w:ascii="Helvetica" w:hAnsi="Helvetica"/>
      <w:sz w:val="28"/>
    </w:rPr>
  </w:style>
  <w:style w:type="paragraph" w:styleId="NoSpacing">
    <w:name w:val="No Spacing"/>
    <w:uiPriority w:val="1"/>
    <w:qFormat/>
    <w:rsid w:val="002C5A93"/>
    <w:rPr>
      <w:rFonts w:ascii="Calibri" w:eastAsia="Calibri" w:hAnsi="Calibri"/>
      <w:sz w:val="22"/>
      <w:szCs w:val="22"/>
    </w:rPr>
  </w:style>
  <w:style w:type="character" w:styleId="Hyperlink">
    <w:name w:val="Hyperlink"/>
    <w:basedOn w:val="DefaultParagraphFont"/>
    <w:uiPriority w:val="99"/>
    <w:unhideWhenUsed/>
    <w:rsid w:val="00F97022"/>
    <w:rPr>
      <w:color w:val="0563C1" w:themeColor="hyperlink"/>
      <w:u w:val="single"/>
    </w:rPr>
  </w:style>
  <w:style w:type="paragraph" w:styleId="Revision">
    <w:name w:val="Revision"/>
    <w:hidden/>
    <w:uiPriority w:val="99"/>
    <w:semiHidden/>
    <w:rsid w:val="00BB3D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89EB7-E0A9-4DA7-8A57-28AFE2DC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1985</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Validation Plan for Cobas Integra 400 for ALT</vt:lpstr>
    </vt:vector>
  </TitlesOfParts>
  <Company>Muchs-harvard</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Plan for Cobas Integra 400 for ALT</dc:title>
  <dc:creator>Mhrlab</dc:creator>
  <cp:lastModifiedBy>Kristin Murphy</cp:lastModifiedBy>
  <cp:revision>8</cp:revision>
  <cp:lastPrinted>2010-05-18T17:47:00Z</cp:lastPrinted>
  <dcterms:created xsi:type="dcterms:W3CDTF">2023-05-11T11:25:00Z</dcterms:created>
  <dcterms:modified xsi:type="dcterms:W3CDTF">2025-05-29T15:53:00Z</dcterms:modified>
</cp:coreProperties>
</file>